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8F87" w14:textId="77777777" w:rsidR="003E13C2" w:rsidRDefault="003E13C2" w:rsidP="003E13C2">
      <w:pPr>
        <w:spacing w:after="4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HANKELEPING</w:t>
      </w:r>
    </w:p>
    <w:p w14:paraId="430D2D59" w14:textId="77777777" w:rsidR="003E13C2" w:rsidRPr="00BE5646" w:rsidRDefault="003E13C2" w:rsidP="003E13C2">
      <w:pPr>
        <w:spacing w:after="4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 xml:space="preserve">nr </w:t>
      </w:r>
      <w:r w:rsidRPr="00CE6BE7">
        <w:rPr>
          <w:rFonts w:ascii="Times New Roman" w:eastAsia="Times New Roman" w:hAnsi="Times New Roman" w:cs="Times New Roman"/>
          <w:b/>
          <w:sz w:val="24"/>
          <w:szCs w:val="24"/>
          <w:highlight w:val="lightGray"/>
        </w:rPr>
        <w:t>……………..</w:t>
      </w:r>
    </w:p>
    <w:p w14:paraId="6B917A2F" w14:textId="77777777" w:rsidR="003E13C2" w:rsidRPr="00BE5646" w:rsidRDefault="003E13C2" w:rsidP="003E13C2">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/kuupäev vastavalt digitaal-</w:t>
      </w:r>
    </w:p>
    <w:p w14:paraId="47094885" w14:textId="77777777" w:rsidR="003E13C2" w:rsidRPr="00BE5646" w:rsidRDefault="003E13C2" w:rsidP="003E13C2">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allkirjastamise kuupäevale/</w:t>
      </w:r>
    </w:p>
    <w:p w14:paraId="4A300270" w14:textId="77777777" w:rsidR="003E13C2" w:rsidRPr="00BE5646" w:rsidRDefault="003E13C2" w:rsidP="003E13C2">
      <w:pPr>
        <w:widowControl w:val="0"/>
        <w:spacing w:after="0" w:line="240" w:lineRule="auto"/>
        <w:ind w:left="101" w:right="146"/>
        <w:jc w:val="right"/>
        <w:rPr>
          <w:rFonts w:ascii="Times New Roman" w:eastAsia="Calibri" w:hAnsi="Times New Roman" w:cs="Times New Roman"/>
          <w:spacing w:val="-15"/>
          <w:sz w:val="24"/>
          <w:szCs w:val="24"/>
        </w:rPr>
      </w:pPr>
    </w:p>
    <w:p w14:paraId="2EDA60A6" w14:textId="77777777" w:rsidR="003E13C2" w:rsidRPr="00BE5646" w:rsidRDefault="003E13C2" w:rsidP="003E13C2">
      <w:pPr>
        <w:widowControl w:val="0"/>
        <w:spacing w:after="0" w:line="240" w:lineRule="auto"/>
        <w:ind w:left="101" w:right="146"/>
        <w:jc w:val="both"/>
        <w:rPr>
          <w:rFonts w:ascii="Times New Roman" w:eastAsia="Calibri" w:hAnsi="Times New Roman" w:cs="Times New Roman"/>
          <w:sz w:val="24"/>
          <w:szCs w:val="24"/>
        </w:rPr>
      </w:pPr>
      <w:r>
        <w:rPr>
          <w:rFonts w:ascii="Times New Roman" w:eastAsia="Calibri" w:hAnsi="Times New Roman" w:cs="Times New Roman"/>
          <w:b/>
          <w:sz w:val="24"/>
          <w:szCs w:val="24"/>
        </w:rPr>
        <w:t>Aktsiaselts Rakvere Haigla</w:t>
      </w:r>
      <w:r w:rsidRPr="00BE5646">
        <w:rPr>
          <w:rFonts w:ascii="Times New Roman" w:eastAsia="Calibri" w:hAnsi="Times New Roman" w:cs="Times New Roman"/>
          <w:sz w:val="24"/>
          <w:szCs w:val="24"/>
        </w:rPr>
        <w:t>,</w:t>
      </w:r>
      <w:r w:rsidRPr="00BE5646">
        <w:rPr>
          <w:rFonts w:ascii="Times New Roman" w:eastAsia="Calibri" w:hAnsi="Times New Roman" w:cs="Times New Roman"/>
          <w:b/>
          <w:sz w:val="24"/>
          <w:szCs w:val="24"/>
        </w:rPr>
        <w:t xml:space="preserve"> </w:t>
      </w:r>
      <w:r w:rsidRPr="00BE5646">
        <w:rPr>
          <w:rFonts w:ascii="Times New Roman" w:eastAsia="Calibri" w:hAnsi="Times New Roman" w:cs="Times New Roman"/>
          <w:sz w:val="24"/>
          <w:szCs w:val="24"/>
        </w:rPr>
        <w:t xml:space="preserve">registrikood </w:t>
      </w:r>
      <w:r w:rsidRPr="00EA5311">
        <w:rPr>
          <w:rFonts w:ascii="Times New Roman" w:eastAsia="Calibri" w:hAnsi="Times New Roman" w:cs="Times New Roman"/>
          <w:sz w:val="24"/>
          <w:szCs w:val="24"/>
        </w:rPr>
        <w:t>10856624</w:t>
      </w:r>
      <w:r w:rsidRPr="00BE5646">
        <w:rPr>
          <w:rFonts w:ascii="Times New Roman" w:eastAsia="Calibri" w:hAnsi="Times New Roman" w:cs="Times New Roman"/>
          <w:sz w:val="24"/>
          <w:szCs w:val="24"/>
        </w:rPr>
        <w:t xml:space="preserve">, asukohaga </w:t>
      </w:r>
      <w:r>
        <w:rPr>
          <w:rFonts w:ascii="Times New Roman" w:eastAsia="Calibri" w:hAnsi="Times New Roman" w:cs="Times New Roman"/>
          <w:sz w:val="24"/>
          <w:szCs w:val="24"/>
        </w:rPr>
        <w:t>Lõuna põik 1, Rakvere</w:t>
      </w:r>
      <w:r w:rsidRPr="00BE5646">
        <w:rPr>
          <w:rFonts w:ascii="Times New Roman" w:eastAsia="Calibri" w:hAnsi="Times New Roman" w:cs="Times New Roman"/>
          <w:sz w:val="24"/>
          <w:szCs w:val="24"/>
        </w:rPr>
        <w:t>, edaspidi nimetatud “</w:t>
      </w:r>
      <w:r>
        <w:rPr>
          <w:rFonts w:ascii="Times New Roman" w:eastAsia="Calibri" w:hAnsi="Times New Roman" w:cs="Times New Roman"/>
          <w:sz w:val="24"/>
          <w:szCs w:val="24"/>
        </w:rPr>
        <w:t>Ostja</w:t>
      </w:r>
      <w:r w:rsidRPr="00BE5646">
        <w:rPr>
          <w:rFonts w:ascii="Times New Roman" w:eastAsia="Calibri" w:hAnsi="Times New Roman" w:cs="Times New Roman"/>
          <w:sz w:val="24"/>
          <w:szCs w:val="24"/>
        </w:rPr>
        <w:t xml:space="preserve">”,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Pr>
          <w:rFonts w:ascii="Times New Roman" w:eastAsia="Calibri" w:hAnsi="Times New Roman" w:cs="Times New Roman"/>
          <w:sz w:val="24"/>
          <w:szCs w:val="24"/>
        </w:rPr>
        <w:t>juhatuse esimees Ain Suurkaev,</w:t>
      </w:r>
      <w:r w:rsidRPr="00BE5646">
        <w:rPr>
          <w:rFonts w:ascii="Times New Roman" w:eastAsia="Calibri" w:hAnsi="Times New Roman" w:cs="Times New Roman"/>
          <w:sz w:val="24"/>
          <w:szCs w:val="24"/>
        </w:rPr>
        <w:t xml:space="preserve"> ühelt poolt</w:t>
      </w:r>
    </w:p>
    <w:p w14:paraId="0ABA919B" w14:textId="77777777" w:rsidR="003E13C2" w:rsidRPr="00BE5646" w:rsidRDefault="003E13C2" w:rsidP="003E13C2">
      <w:pPr>
        <w:widowControl w:val="0"/>
        <w:spacing w:after="0" w:line="240" w:lineRule="auto"/>
        <w:ind w:left="101" w:right="146"/>
        <w:jc w:val="both"/>
        <w:rPr>
          <w:rFonts w:ascii="Times New Roman" w:eastAsia="Calibri" w:hAnsi="Times New Roman" w:cs="Times New Roman"/>
          <w:sz w:val="24"/>
          <w:szCs w:val="24"/>
        </w:rPr>
      </w:pPr>
      <w:r w:rsidRPr="00BE5646">
        <w:rPr>
          <w:rFonts w:ascii="Times New Roman" w:eastAsia="Calibri" w:hAnsi="Times New Roman" w:cs="Times New Roman"/>
          <w:sz w:val="24"/>
          <w:szCs w:val="24"/>
        </w:rPr>
        <w:t>ja</w:t>
      </w:r>
    </w:p>
    <w:p w14:paraId="32709DDC" w14:textId="77777777" w:rsidR="003E13C2" w:rsidRDefault="003E13C2" w:rsidP="003E13C2">
      <w:pPr>
        <w:widowControl w:val="0"/>
        <w:spacing w:after="0" w:line="240" w:lineRule="auto"/>
        <w:ind w:left="101" w:right="146"/>
        <w:jc w:val="both"/>
        <w:rPr>
          <w:rFonts w:ascii="Times New Roman" w:eastAsia="Calibri" w:hAnsi="Times New Roman" w:cs="Times New Roman"/>
          <w:sz w:val="24"/>
          <w:szCs w:val="24"/>
        </w:rPr>
      </w:pPr>
      <w:r w:rsidRPr="00CE6BE7">
        <w:rPr>
          <w:rFonts w:ascii="Times New Roman" w:eastAsia="Calibri" w:hAnsi="Times New Roman" w:cs="Times New Roman"/>
          <w:b/>
          <w:sz w:val="24"/>
          <w:szCs w:val="24"/>
          <w:highlight w:val="lightGray"/>
        </w:rPr>
        <w:t>……………</w:t>
      </w:r>
      <w:r w:rsidRPr="00BE5646">
        <w:rPr>
          <w:rFonts w:ascii="Times New Roman" w:eastAsia="Calibri" w:hAnsi="Times New Roman" w:cs="Times New Roman"/>
          <w:sz w:val="24"/>
          <w:szCs w:val="24"/>
        </w:rPr>
        <w:t>, reg</w:t>
      </w:r>
      <w:r>
        <w:rPr>
          <w:rFonts w:ascii="Times New Roman" w:eastAsia="Calibri" w:hAnsi="Times New Roman" w:cs="Times New Roman"/>
          <w:sz w:val="24"/>
          <w:szCs w:val="24"/>
        </w:rPr>
        <w:t>istrikood</w:t>
      </w:r>
      <w:r w:rsidRPr="00BE5646">
        <w:rPr>
          <w:rFonts w:ascii="Times New Roman" w:eastAsia="Calibri" w:hAnsi="Times New Roman" w:cs="Times New Roman"/>
          <w:sz w:val="24"/>
          <w:szCs w:val="24"/>
        </w:rPr>
        <w:t xml:space="preserve"> </w:t>
      </w:r>
      <w:r w:rsidRPr="00CE6BE7">
        <w:rPr>
          <w:rFonts w:ascii="Times New Roman" w:eastAsia="Calibri" w:hAnsi="Times New Roman" w:cs="Times New Roman"/>
          <w:sz w:val="24"/>
          <w:szCs w:val="24"/>
          <w:highlight w:val="lightGray"/>
          <w:lang w:val="en-US"/>
        </w:rPr>
        <w:t>……….</w:t>
      </w:r>
      <w:r w:rsidRPr="00BE5646">
        <w:rPr>
          <w:rFonts w:ascii="Times New Roman" w:eastAsia="Calibri" w:hAnsi="Times New Roman" w:cs="Times New Roman"/>
          <w:sz w:val="24"/>
          <w:szCs w:val="24"/>
        </w:rPr>
        <w:t xml:space="preserve">, asukohaga </w:t>
      </w:r>
      <w:r w:rsidRPr="00CE6BE7">
        <w:rPr>
          <w:rFonts w:ascii="Times New Roman" w:eastAsia="Calibri" w:hAnsi="Times New Roman" w:cs="Times New Roman"/>
          <w:sz w:val="24"/>
          <w:szCs w:val="24"/>
          <w:highlight w:val="lightGray"/>
        </w:rPr>
        <w:t>….…..</w:t>
      </w:r>
      <w:r w:rsidRPr="00BE5646">
        <w:rPr>
          <w:rFonts w:ascii="Times New Roman" w:eastAsia="Calibri" w:hAnsi="Times New Roman" w:cs="Times New Roman"/>
          <w:sz w:val="24"/>
          <w:szCs w:val="24"/>
        </w:rPr>
        <w:t>, edaspidi nimetatud “</w:t>
      </w:r>
      <w:r>
        <w:rPr>
          <w:rFonts w:ascii="Times New Roman" w:eastAsia="Calibri" w:hAnsi="Times New Roman" w:cs="Times New Roman"/>
          <w:sz w:val="24"/>
          <w:szCs w:val="24"/>
        </w:rPr>
        <w:t>Müüj</w:t>
      </w:r>
      <w:r w:rsidRPr="00BE5646">
        <w:rPr>
          <w:rFonts w:ascii="Times New Roman" w:eastAsia="Calibri" w:hAnsi="Times New Roman" w:cs="Times New Roman"/>
          <w:sz w:val="24"/>
          <w:szCs w:val="24"/>
        </w:rPr>
        <w:t xml:space="preserve">a”,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sidRPr="00CE6BE7">
        <w:rPr>
          <w:rFonts w:ascii="Times New Roman" w:eastAsia="Calibri" w:hAnsi="Times New Roman" w:cs="Times New Roman"/>
          <w:sz w:val="24"/>
          <w:szCs w:val="24"/>
          <w:highlight w:val="lightGray"/>
        </w:rPr>
        <w:t>………… ……….</w:t>
      </w:r>
      <w:r w:rsidRPr="00BE5646">
        <w:rPr>
          <w:rFonts w:ascii="Times New Roman" w:eastAsia="Calibri" w:hAnsi="Times New Roman" w:cs="Times New Roman"/>
          <w:sz w:val="24"/>
          <w:szCs w:val="24"/>
        </w:rPr>
        <w:t xml:space="preserve"> teiselt poolt, </w:t>
      </w:r>
    </w:p>
    <w:p w14:paraId="2564BD64" w14:textId="77777777" w:rsidR="003E13C2" w:rsidRDefault="003E13C2" w:rsidP="003E13C2">
      <w:pPr>
        <w:widowControl w:val="0"/>
        <w:spacing w:after="0" w:line="240" w:lineRule="auto"/>
        <w:ind w:left="101" w:right="146"/>
        <w:jc w:val="both"/>
        <w:rPr>
          <w:rFonts w:ascii="Times New Roman" w:eastAsia="Calibri" w:hAnsi="Times New Roman" w:cs="Times New Roman"/>
          <w:sz w:val="24"/>
          <w:szCs w:val="24"/>
        </w:rPr>
      </w:pPr>
    </w:p>
    <w:p w14:paraId="24C26F36" w14:textId="77777777" w:rsidR="003E13C2" w:rsidRDefault="003E13C2" w:rsidP="003E13C2">
      <w:pPr>
        <w:widowControl w:val="0"/>
        <w:spacing w:after="240" w:line="240" w:lineRule="auto"/>
        <w:ind w:left="102" w:right="147"/>
        <w:jc w:val="both"/>
        <w:rPr>
          <w:rFonts w:ascii="Times New Roman" w:eastAsia="Calibri" w:hAnsi="Times New Roman" w:cs="Times New Roman"/>
          <w:spacing w:val="-1"/>
          <w:sz w:val="24"/>
          <w:szCs w:val="24"/>
        </w:rPr>
      </w:pPr>
      <w:r w:rsidRPr="00BE5646">
        <w:rPr>
          <w:rFonts w:ascii="Times New Roman" w:eastAsia="Calibri" w:hAnsi="Times New Roman" w:cs="Times New Roman"/>
          <w:sz w:val="24"/>
          <w:szCs w:val="24"/>
        </w:rPr>
        <w:t xml:space="preserve">koos nimetatud “Lepingupooled” või “Pooled”, sõlmisid käesoleva </w:t>
      </w:r>
      <w:r>
        <w:rPr>
          <w:rFonts w:ascii="Times New Roman" w:eastAsia="Calibri" w:hAnsi="Times New Roman" w:cs="Times New Roman"/>
          <w:sz w:val="24"/>
          <w:szCs w:val="24"/>
        </w:rPr>
        <w:t>hanke</w:t>
      </w:r>
      <w:r w:rsidRPr="00BE5646">
        <w:rPr>
          <w:rFonts w:ascii="Times New Roman" w:eastAsia="Calibri" w:hAnsi="Times New Roman" w:cs="Times New Roman"/>
          <w:sz w:val="24"/>
          <w:szCs w:val="24"/>
        </w:rPr>
        <w:t xml:space="preserve">lepingu </w:t>
      </w:r>
      <w:r>
        <w:rPr>
          <w:rFonts w:ascii="Times New Roman" w:eastAsia="Calibri" w:hAnsi="Times New Roman" w:cs="Times New Roman"/>
          <w:sz w:val="24"/>
          <w:szCs w:val="24"/>
        </w:rPr>
        <w:t xml:space="preserve">(edaspidi „Leping“) </w:t>
      </w:r>
      <w:r w:rsidRPr="00BE5646">
        <w:rPr>
          <w:rFonts w:ascii="Times New Roman" w:eastAsia="Calibri" w:hAnsi="Times New Roman" w:cs="Times New Roman"/>
          <w:sz w:val="24"/>
          <w:szCs w:val="24"/>
        </w:rPr>
        <w:t>alljärgnevas</w:t>
      </w:r>
      <w:r w:rsidRPr="00BE5646">
        <w:rPr>
          <w:rFonts w:ascii="Times New Roman" w:eastAsia="Calibri" w:hAnsi="Times New Roman" w:cs="Times New Roman"/>
          <w:spacing w:val="-1"/>
          <w:sz w:val="24"/>
          <w:szCs w:val="24"/>
        </w:rPr>
        <w:t>:</w:t>
      </w:r>
    </w:p>
    <w:p w14:paraId="523121D7" w14:textId="77777777" w:rsidR="003E13C2" w:rsidRPr="00E61D20" w:rsidRDefault="003E13C2" w:rsidP="003E13C2">
      <w:pPr>
        <w:numPr>
          <w:ilvl w:val="0"/>
          <w:numId w:val="1"/>
        </w:numPr>
        <w:spacing w:before="120" w:after="0" w:line="240" w:lineRule="auto"/>
        <w:ind w:left="426" w:hanging="426"/>
        <w:jc w:val="both"/>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Üldsätted</w:t>
      </w:r>
    </w:p>
    <w:p w14:paraId="41EC09ED" w14:textId="2D92FDBE" w:rsidR="003E13C2" w:rsidRPr="00E61D20" w:rsidRDefault="003E13C2" w:rsidP="00233A45">
      <w:pPr>
        <w:pStyle w:val="HD2"/>
      </w:pPr>
      <w:r w:rsidRPr="00E61D20">
        <w:t xml:space="preserve">Pooled </w:t>
      </w:r>
      <w:r w:rsidRPr="00EA5311">
        <w:t xml:space="preserve">lähtuvad Lepingu sõlmimisel Eesti Vabariigi õigusaktidest ning </w:t>
      </w:r>
      <w:r w:rsidRPr="00D54682">
        <w:rPr>
          <w:b/>
          <w:bCs/>
          <w:lang w:val="et-EE"/>
        </w:rPr>
        <w:t>väikehanke</w:t>
      </w:r>
      <w:r w:rsidRPr="00EA5311">
        <w:t xml:space="preserve"> </w:t>
      </w:r>
      <w:r w:rsidRPr="0029123A">
        <w:rPr>
          <w:b/>
          <w:bCs/>
          <w:lang w:val="et-EE"/>
        </w:rPr>
        <w:t>nimetusega</w:t>
      </w:r>
      <w:r w:rsidRPr="0029123A">
        <w:rPr>
          <w:b/>
          <w:bCs/>
        </w:rPr>
        <w:t xml:space="preserve"> „</w:t>
      </w:r>
      <w:r>
        <w:rPr>
          <w:b/>
          <w:bCs/>
          <w:lang w:val="et-EE"/>
        </w:rPr>
        <w:t>Tulekustutite uuendamine</w:t>
      </w:r>
      <w:r w:rsidRPr="00B567D0">
        <w:rPr>
          <w:b/>
          <w:bCs/>
        </w:rPr>
        <w:t>“</w:t>
      </w:r>
      <w:r w:rsidRPr="00EA5311">
        <w:t xml:space="preserve"> (</w:t>
      </w:r>
      <w:r w:rsidRPr="00E61D20">
        <w:t xml:space="preserve">edaspidi </w:t>
      </w:r>
      <w:r>
        <w:rPr>
          <w:lang w:val="et-EE"/>
        </w:rPr>
        <w:t>nimetatud kui</w:t>
      </w:r>
      <w:r w:rsidRPr="00E61D20">
        <w:t xml:space="preserve"> „riigihange“) alusdokumentidest.</w:t>
      </w:r>
    </w:p>
    <w:p w14:paraId="17459441" w14:textId="77777777" w:rsidR="003E13C2" w:rsidRPr="00E61D20" w:rsidRDefault="003E13C2" w:rsidP="003E13C2">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Pooled lähtuvad Lepingu sõlmimisel Eesti Vabariigi õigusaktidest ning </w:t>
      </w:r>
      <w:r>
        <w:rPr>
          <w:rFonts w:ascii="Times New Roman" w:eastAsia="Times New Roman" w:hAnsi="Times New Roman" w:cs="Times New Roman"/>
          <w:sz w:val="24"/>
          <w:szCs w:val="24"/>
          <w:lang w:eastAsia="x-none"/>
        </w:rPr>
        <w:t>riigihanke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val="x-none" w:eastAsia="et-EE"/>
        </w:rPr>
        <w:t>hankedokumentidest ja pakkumusest</w:t>
      </w:r>
      <w:r w:rsidRPr="00E61D20">
        <w:rPr>
          <w:rFonts w:ascii="Times New Roman" w:eastAsia="Times New Roman" w:hAnsi="Times New Roman" w:cs="Times New Roman"/>
          <w:sz w:val="24"/>
          <w:szCs w:val="24"/>
          <w:lang w:val="x-none" w:eastAsia="x-none"/>
        </w:rPr>
        <w:t>.</w:t>
      </w:r>
    </w:p>
    <w:p w14:paraId="63553C35" w14:textId="77777777" w:rsidR="003E13C2" w:rsidRPr="00E61D20" w:rsidRDefault="003E13C2" w:rsidP="003E13C2">
      <w:pPr>
        <w:numPr>
          <w:ilvl w:val="1"/>
          <w:numId w:val="1"/>
        </w:numPr>
        <w:spacing w:before="120" w:after="0" w:line="240" w:lineRule="auto"/>
        <w:ind w:left="567" w:hanging="425"/>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lahutamatuteks osadeks on:</w:t>
      </w:r>
    </w:p>
    <w:p w14:paraId="57F398BD" w14:textId="77777777" w:rsidR="003E13C2" w:rsidRPr="00E61D20" w:rsidRDefault="003E13C2" w:rsidP="003E13C2">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1 – </w:t>
      </w:r>
      <w:r>
        <w:rPr>
          <w:rFonts w:ascii="Times New Roman" w:eastAsia="Calibri" w:hAnsi="Times New Roman" w:cs="Times New Roman"/>
          <w:sz w:val="24"/>
          <w:szCs w:val="24"/>
          <w:lang w:bidi="en-US"/>
        </w:rPr>
        <w:t>Riigihanke h</w:t>
      </w:r>
      <w:r w:rsidRPr="00E61D20">
        <w:rPr>
          <w:rFonts w:ascii="Times New Roman" w:eastAsia="Calibri" w:hAnsi="Times New Roman" w:cs="Times New Roman"/>
          <w:sz w:val="24"/>
          <w:szCs w:val="24"/>
          <w:lang w:bidi="en-US"/>
        </w:rPr>
        <w:t>anke</w:t>
      </w:r>
      <w:r>
        <w:rPr>
          <w:rFonts w:ascii="Times New Roman" w:eastAsia="Calibri" w:hAnsi="Times New Roman" w:cs="Times New Roman"/>
          <w:sz w:val="24"/>
          <w:szCs w:val="24"/>
          <w:lang w:bidi="en-US"/>
        </w:rPr>
        <w:t>alus</w:t>
      </w:r>
      <w:r w:rsidRPr="00E61D20">
        <w:rPr>
          <w:rFonts w:ascii="Times New Roman" w:eastAsia="Calibri" w:hAnsi="Times New Roman" w:cs="Times New Roman"/>
          <w:sz w:val="24"/>
          <w:szCs w:val="24"/>
          <w:lang w:bidi="en-US"/>
        </w:rPr>
        <w:t>dokumendid koos lisadega (edaspidi ka HD), mis on Pooltel olemas ja mida eraldi ei allkirjastata;</w:t>
      </w:r>
    </w:p>
    <w:p w14:paraId="3737828C" w14:textId="77777777" w:rsidR="003E13C2" w:rsidRPr="00EF4BDB" w:rsidRDefault="003E13C2" w:rsidP="003E13C2">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2 –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poolt esitatud pakkumus koos lisadega (edaspidi </w:t>
      </w:r>
      <w:r w:rsidRPr="00EF4BDB">
        <w:rPr>
          <w:rFonts w:ascii="Times New Roman" w:eastAsia="Calibri" w:hAnsi="Times New Roman" w:cs="Times New Roman"/>
          <w:sz w:val="24"/>
          <w:szCs w:val="24"/>
          <w:lang w:bidi="en-US"/>
        </w:rPr>
        <w:t xml:space="preserve">pakkumus), mis on </w:t>
      </w:r>
      <w:r>
        <w:rPr>
          <w:rFonts w:ascii="Times New Roman" w:eastAsia="Calibri" w:hAnsi="Times New Roman" w:cs="Times New Roman"/>
          <w:sz w:val="24"/>
          <w:szCs w:val="24"/>
          <w:lang w:bidi="en-US"/>
        </w:rPr>
        <w:t>käsitlemise hõlbustamiseks lisatud Lepingu allkirjakonteinerisse</w:t>
      </w:r>
      <w:r w:rsidRPr="00EF4BDB">
        <w:rPr>
          <w:rFonts w:ascii="Times New Roman" w:eastAsia="Calibri" w:hAnsi="Times New Roman" w:cs="Times New Roman"/>
          <w:sz w:val="24"/>
          <w:szCs w:val="24"/>
          <w:lang w:bidi="en-US"/>
        </w:rPr>
        <w:t>;</w:t>
      </w:r>
    </w:p>
    <w:p w14:paraId="6798004F" w14:textId="43D1956F" w:rsidR="003E13C2" w:rsidRPr="00EF4BDB" w:rsidRDefault="003E13C2" w:rsidP="003E13C2">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F4BDB">
        <w:rPr>
          <w:rFonts w:ascii="Times New Roman" w:eastAsia="Calibri" w:hAnsi="Times New Roman" w:cs="Times New Roman"/>
          <w:sz w:val="24"/>
          <w:szCs w:val="24"/>
          <w:lang w:bidi="en-US"/>
        </w:rPr>
        <w:t xml:space="preserve">Lisa 3 – </w:t>
      </w:r>
      <w:r w:rsidR="007D5F62">
        <w:rPr>
          <w:rFonts w:ascii="Times New Roman" w:eastAsia="Calibri" w:hAnsi="Times New Roman" w:cs="Times New Roman"/>
          <w:sz w:val="24"/>
          <w:szCs w:val="24"/>
          <w:lang w:bidi="en-US"/>
        </w:rPr>
        <w:t>Kauba</w:t>
      </w:r>
      <w:r w:rsidRPr="00EF4BDB">
        <w:rPr>
          <w:rFonts w:ascii="Times New Roman" w:eastAsia="Calibri" w:hAnsi="Times New Roman" w:cs="Times New Roman"/>
          <w:sz w:val="24"/>
          <w:szCs w:val="24"/>
          <w:lang w:bidi="en-US"/>
        </w:rPr>
        <w:t xml:space="preserve"> üleandmise-vastuvõtmise akt</w:t>
      </w:r>
      <w:r>
        <w:rPr>
          <w:rFonts w:ascii="Times New Roman" w:eastAsia="Calibri" w:hAnsi="Times New Roman" w:cs="Times New Roman"/>
          <w:sz w:val="24"/>
          <w:szCs w:val="24"/>
          <w:lang w:bidi="en-US"/>
        </w:rPr>
        <w:t>.</w:t>
      </w:r>
    </w:p>
    <w:p w14:paraId="4D50D387" w14:textId="77777777" w:rsidR="003E13C2" w:rsidRPr="00E61D20" w:rsidRDefault="003E13C2" w:rsidP="00233A45">
      <w:pPr>
        <w:pStyle w:val="HD2"/>
        <w:rPr>
          <w:rFonts w:eastAsia="Calibri"/>
          <w:lang w:bidi="en-US"/>
        </w:rPr>
      </w:pPr>
      <w:r w:rsidRPr="00E61D20">
        <w:rPr>
          <w:rFonts w:eastAsia="Calibri"/>
          <w:lang w:bidi="en-US"/>
        </w:rPr>
        <w:t>Lepingu ja selle lisade omavahelise vastuolu või erineva tõlgendamisvõimaluse korral prevaleerib Leping lisade ees. Lepingu Lisade omavahelise vastuolu või erineva tõlgendamisvõimaluse korral prevaleerib punktis 1.</w:t>
      </w:r>
      <w:r>
        <w:rPr>
          <w:rFonts w:eastAsia="Calibri"/>
          <w:lang w:val="et-EE" w:bidi="en-US"/>
        </w:rPr>
        <w:t>3</w:t>
      </w:r>
      <w:r w:rsidRPr="00E61D20">
        <w:rPr>
          <w:rFonts w:eastAsia="Calibri"/>
          <w:lang w:bidi="en-US"/>
        </w:rPr>
        <w:t xml:space="preserve"> eespool nimetatud lisa tagapool nimetatud lisa ees</w:t>
      </w:r>
      <w:r w:rsidRPr="00E34E85">
        <w:t xml:space="preserve"> </w:t>
      </w:r>
      <w:r w:rsidRPr="00E34E85">
        <w:rPr>
          <w:rFonts w:eastAsia="Calibri"/>
          <w:lang w:bidi="en-US"/>
        </w:rPr>
        <w:t>v.a kui pooled on konkreetse Lepingu lisa osas leppinud kokku teisiti</w:t>
      </w:r>
      <w:r w:rsidRPr="00E61D20">
        <w:rPr>
          <w:rFonts w:eastAsia="Calibri"/>
          <w:lang w:bidi="en-US"/>
        </w:rPr>
        <w:t>.</w:t>
      </w:r>
    </w:p>
    <w:p w14:paraId="30CFD369" w14:textId="77777777" w:rsidR="003E13C2" w:rsidRPr="00E61D20" w:rsidRDefault="003E13C2" w:rsidP="003E13C2">
      <w:pPr>
        <w:numPr>
          <w:ilvl w:val="0"/>
          <w:numId w:val="1"/>
        </w:numPr>
        <w:spacing w:before="120" w:after="0" w:line="240" w:lineRule="auto"/>
        <w:ind w:left="426" w:hanging="426"/>
        <w:jc w:val="both"/>
        <w:outlineLvl w:val="0"/>
        <w:rPr>
          <w:rFonts w:ascii="Times New Roman" w:eastAsia="Calibri" w:hAnsi="Times New Roman" w:cs="Times New Roman"/>
          <w:sz w:val="24"/>
          <w:szCs w:val="24"/>
          <w:lang w:bidi="en-US"/>
        </w:rPr>
      </w:pPr>
      <w:bookmarkStart w:id="0" w:name="_Toc510985222"/>
      <w:r w:rsidRPr="00E61D20">
        <w:rPr>
          <w:rFonts w:ascii="Times New Roman" w:eastAsia="Calibri" w:hAnsi="Times New Roman" w:cs="Times New Roman"/>
          <w:b/>
          <w:sz w:val="24"/>
          <w:szCs w:val="24"/>
          <w:lang w:bidi="en-US"/>
        </w:rPr>
        <w:t>Lepingu objekt</w:t>
      </w:r>
      <w:bookmarkEnd w:id="0"/>
      <w:r w:rsidRPr="00E61D20">
        <w:rPr>
          <w:rFonts w:ascii="Times New Roman" w:eastAsia="Calibri" w:hAnsi="Times New Roman" w:cs="Times New Roman"/>
          <w:b/>
          <w:sz w:val="24"/>
          <w:szCs w:val="24"/>
          <w:lang w:bidi="en-US"/>
        </w:rPr>
        <w:t xml:space="preserve"> ja hind</w:t>
      </w:r>
    </w:p>
    <w:p w14:paraId="40D8E2F9" w14:textId="308A25E4" w:rsidR="003E13C2" w:rsidRPr="00C23BE8" w:rsidRDefault="003E13C2" w:rsidP="00233A45">
      <w:pPr>
        <w:pStyle w:val="HD2"/>
        <w:rPr>
          <w:rFonts w:eastAsia="Calibri"/>
          <w:lang w:val="et-EE" w:eastAsia="en-US" w:bidi="en-US"/>
        </w:rPr>
      </w:pPr>
      <w:r w:rsidRPr="00C23BE8">
        <w:rPr>
          <w:rFonts w:eastAsia="Calibri"/>
          <w:lang w:bidi="en-US"/>
        </w:rPr>
        <w:t xml:space="preserve">Lepingu objektiks on pakkumuses ja HD-s kirjeldatud tingimustele vastavate </w:t>
      </w:r>
      <w:r w:rsidRPr="00C23BE8">
        <w:rPr>
          <w:rFonts w:eastAsia="Calibri"/>
          <w:b/>
          <w:bCs/>
          <w:lang w:bidi="en-US"/>
        </w:rPr>
        <w:t xml:space="preserve">25 komplekse tootja ……........ poolt toodetud </w:t>
      </w:r>
      <w:r w:rsidR="00050A51" w:rsidRPr="00C23BE8">
        <w:rPr>
          <w:rFonts w:eastAsia="Calibri"/>
          <w:b/>
          <w:bCs/>
          <w:lang w:bidi="en-US"/>
        </w:rPr>
        <w:t>tulekustuti</w:t>
      </w:r>
      <w:r w:rsidRPr="00C23BE8">
        <w:rPr>
          <w:rFonts w:eastAsia="Calibri"/>
          <w:b/>
          <w:bCs/>
          <w:lang w:bidi="en-US"/>
        </w:rPr>
        <w:t xml:space="preserve"> ……........</w:t>
      </w:r>
      <w:r w:rsidRPr="00C23BE8">
        <w:rPr>
          <w:rFonts w:eastAsia="Calibri"/>
          <w:lang w:bidi="en-US"/>
        </w:rPr>
        <w:t xml:space="preserve"> (edaspidi nimetatud </w:t>
      </w:r>
      <w:r w:rsidR="00050A51" w:rsidRPr="00C23BE8">
        <w:rPr>
          <w:rFonts w:eastAsia="Calibri"/>
          <w:lang w:bidi="en-US"/>
        </w:rPr>
        <w:t xml:space="preserve">kaup) </w:t>
      </w:r>
      <w:r w:rsidRPr="00C23BE8">
        <w:rPr>
          <w:rFonts w:eastAsia="Calibri"/>
          <w:b/>
          <w:bCs/>
          <w:lang w:val="et-EE" w:eastAsia="en-US" w:bidi="en-US"/>
        </w:rPr>
        <w:t xml:space="preserve">ostmine </w:t>
      </w:r>
      <w:r w:rsidRPr="00C23BE8">
        <w:rPr>
          <w:rFonts w:eastAsia="Calibri"/>
          <w:lang w:val="et-EE" w:eastAsia="en-US" w:bidi="en-US"/>
        </w:rPr>
        <w:t>vastavalt Lepingu Lisa</w:t>
      </w:r>
      <w:r w:rsidR="00B32DC5" w:rsidRPr="00C23BE8">
        <w:rPr>
          <w:rFonts w:eastAsia="Calibri"/>
          <w:lang w:val="et-EE" w:eastAsia="en-US" w:bidi="en-US"/>
        </w:rPr>
        <w:t>s</w:t>
      </w:r>
      <w:r w:rsidRPr="00C23BE8">
        <w:rPr>
          <w:rFonts w:eastAsia="Calibri"/>
          <w:lang w:val="et-EE" w:eastAsia="en-US" w:bidi="en-US"/>
        </w:rPr>
        <w:t xml:space="preserve"> 1</w:t>
      </w:r>
      <w:r w:rsidR="00B32DC5" w:rsidRPr="00C23BE8">
        <w:rPr>
          <w:rFonts w:eastAsia="Calibri"/>
          <w:lang w:val="et-EE" w:eastAsia="en-US" w:bidi="en-US"/>
        </w:rPr>
        <w:t>.</w:t>
      </w:r>
    </w:p>
    <w:p w14:paraId="6516AFDC" w14:textId="086A38D6" w:rsidR="003E13C2" w:rsidRPr="003E13C2" w:rsidRDefault="003E13C2" w:rsidP="003E13C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bookmarkStart w:id="1" w:name="_Ref151623724"/>
      <w:r w:rsidRPr="00C23BE8">
        <w:rPr>
          <w:rFonts w:ascii="Times New Roman" w:eastAsia="Calibri" w:hAnsi="Times New Roman" w:cs="Times New Roman"/>
          <w:sz w:val="24"/>
          <w:szCs w:val="24"/>
          <w:lang w:bidi="en-US"/>
        </w:rPr>
        <w:t xml:space="preserve">Lepingu punktis 2.1. nimetatud </w:t>
      </w:r>
      <w:r w:rsidR="000C7D98" w:rsidRPr="00C23BE8">
        <w:rPr>
          <w:rFonts w:ascii="Times New Roman" w:eastAsia="Calibri" w:hAnsi="Times New Roman" w:cs="Times New Roman"/>
          <w:b/>
          <w:bCs/>
          <w:sz w:val="24"/>
          <w:szCs w:val="24"/>
          <w:lang w:bidi="en-US"/>
        </w:rPr>
        <w:t>kauba</w:t>
      </w:r>
      <w:r w:rsidRPr="00C23BE8">
        <w:rPr>
          <w:rFonts w:ascii="Times New Roman" w:eastAsia="Calibri" w:hAnsi="Times New Roman" w:cs="Times New Roman"/>
          <w:b/>
          <w:bCs/>
          <w:sz w:val="24"/>
          <w:szCs w:val="24"/>
          <w:lang w:bidi="en-US"/>
        </w:rPr>
        <w:t xml:space="preserve"> kogumaksumus</w:t>
      </w:r>
      <w:r w:rsidRPr="004D2C96">
        <w:rPr>
          <w:rFonts w:ascii="Times New Roman" w:eastAsia="Calibri" w:hAnsi="Times New Roman" w:cs="Times New Roman"/>
          <w:sz w:val="24"/>
          <w:szCs w:val="24"/>
          <w:lang w:bidi="en-US"/>
        </w:rPr>
        <w:t xml:space="preserve"> on </w:t>
      </w:r>
      <w:r w:rsidRPr="00D30228">
        <w:rPr>
          <w:rFonts w:ascii="Times New Roman" w:eastAsia="Calibri" w:hAnsi="Times New Roman" w:cs="Times New Roman"/>
          <w:b/>
          <w:bCs/>
          <w:sz w:val="24"/>
          <w:szCs w:val="24"/>
          <w:lang w:bidi="en-US"/>
        </w:rPr>
        <w:t xml:space="preserve">………. </w:t>
      </w:r>
      <w:r w:rsidRPr="00800DB2">
        <w:rPr>
          <w:rFonts w:ascii="Times New Roman" w:eastAsia="Calibri" w:hAnsi="Times New Roman" w:cs="Times New Roman"/>
          <w:b/>
          <w:bCs/>
          <w:sz w:val="24"/>
          <w:szCs w:val="24"/>
          <w:lang w:bidi="en-US"/>
        </w:rPr>
        <w:t>(........ eurot ja ...... senti</w:t>
      </w:r>
      <w:r>
        <w:rPr>
          <w:rFonts w:ascii="Times New Roman" w:eastAsia="Calibri" w:hAnsi="Times New Roman" w:cs="Times New Roman"/>
          <w:b/>
          <w:sz w:val="24"/>
          <w:szCs w:val="24"/>
          <w:lang w:bidi="en-US"/>
        </w:rPr>
        <w:t>)</w:t>
      </w:r>
      <w:r w:rsidRPr="00E61D20">
        <w:rPr>
          <w:rFonts w:ascii="Times New Roman" w:eastAsia="Calibri" w:hAnsi="Times New Roman" w:cs="Times New Roman"/>
          <w:b/>
          <w:sz w:val="24"/>
          <w:szCs w:val="24"/>
          <w:lang w:bidi="en-US"/>
        </w:rPr>
        <w:t xml:space="preserve"> euro</w:t>
      </w:r>
      <w:r>
        <w:rPr>
          <w:rFonts w:ascii="Times New Roman" w:eastAsia="Calibri" w:hAnsi="Times New Roman" w:cs="Times New Roman"/>
          <w:b/>
          <w:sz w:val="24"/>
          <w:szCs w:val="24"/>
          <w:lang w:bidi="en-US"/>
        </w:rPr>
        <w:t xml:space="preserve">t, </w:t>
      </w:r>
      <w:r w:rsidRPr="002141A9">
        <w:rPr>
          <w:rFonts w:ascii="Times New Roman" w:eastAsia="Calibri" w:hAnsi="Times New Roman" w:cs="Times New Roman"/>
          <w:bCs/>
          <w:sz w:val="24"/>
          <w:szCs w:val="24"/>
          <w:lang w:bidi="en-US"/>
        </w:rPr>
        <w:t>millisele summale lisandub</w:t>
      </w:r>
      <w:r w:rsidRPr="004D2C96">
        <w:rPr>
          <w:rFonts w:ascii="Times New Roman" w:eastAsia="Calibri" w:hAnsi="Times New Roman" w:cs="Times New Roman"/>
          <w:sz w:val="24"/>
          <w:szCs w:val="24"/>
          <w:lang w:bidi="en-US"/>
        </w:rPr>
        <w:t xml:space="preserve"> õigusaktidest tulenevatel alustel ja korras käibemaks</w:t>
      </w:r>
      <w:r>
        <w:rPr>
          <w:rFonts w:ascii="Times New Roman" w:eastAsia="Calibri" w:hAnsi="Times New Roman" w:cs="Times New Roman"/>
          <w:sz w:val="24"/>
          <w:szCs w:val="24"/>
          <w:lang w:bidi="en-US"/>
        </w:rPr>
        <w:t>.</w:t>
      </w:r>
      <w:bookmarkEnd w:id="1"/>
    </w:p>
    <w:p w14:paraId="59FAD124" w14:textId="77777777" w:rsidR="00014389" w:rsidRDefault="007D7C84" w:rsidP="00233A45">
      <w:pPr>
        <w:pStyle w:val="HD2"/>
      </w:pPr>
      <w:r>
        <w:rPr>
          <w:lang w:val="et-EE"/>
        </w:rPr>
        <w:t>Kauba</w:t>
      </w:r>
      <w:r w:rsidR="003E13C2">
        <w:rPr>
          <w:lang w:val="et-EE"/>
        </w:rPr>
        <w:t xml:space="preserve"> </w:t>
      </w:r>
      <w:r w:rsidR="003E13C2" w:rsidRPr="00E61D20">
        <w:t>omand läheb Müüjalt Ostjale üle peale Lepingu p</w:t>
      </w:r>
      <w:r w:rsidR="003E13C2">
        <w:rPr>
          <w:lang w:val="et-EE"/>
        </w:rPr>
        <w:t xml:space="preserve">unktis </w:t>
      </w:r>
      <w:r w:rsidR="003E13C2">
        <w:fldChar w:fldCharType="begin"/>
      </w:r>
      <w:r w:rsidR="003E13C2">
        <w:rPr>
          <w:lang w:val="et-EE"/>
        </w:rPr>
        <w:instrText xml:space="preserve"> REF _Ref151623724 \r \h </w:instrText>
      </w:r>
      <w:r w:rsidR="003E13C2">
        <w:fldChar w:fldCharType="separate"/>
      </w:r>
      <w:r w:rsidR="003E13C2">
        <w:rPr>
          <w:lang w:val="et-EE"/>
        </w:rPr>
        <w:t>2.2</w:t>
      </w:r>
      <w:r w:rsidR="003E13C2">
        <w:fldChar w:fldCharType="end"/>
      </w:r>
      <w:r w:rsidR="003E13C2">
        <w:rPr>
          <w:lang w:val="et-EE"/>
        </w:rPr>
        <w:t xml:space="preserve"> </w:t>
      </w:r>
      <w:r w:rsidR="003E13C2" w:rsidRPr="00E61D20">
        <w:t>nimetatud kogumaksumuse täielikku tasumist.</w:t>
      </w:r>
    </w:p>
    <w:p w14:paraId="411C6DF6" w14:textId="482F4F1C" w:rsidR="0043000C" w:rsidRDefault="003E13C2" w:rsidP="00233A45">
      <w:pPr>
        <w:pStyle w:val="HD2"/>
      </w:pPr>
      <w:r w:rsidRPr="00E61D20">
        <w:t>Müüja kinnitab, et Lepingu järgi üleantavale</w:t>
      </w:r>
      <w:r w:rsidRPr="00014389">
        <w:rPr>
          <w:lang w:val="et-EE"/>
        </w:rPr>
        <w:t xml:space="preserve"> </w:t>
      </w:r>
      <w:r w:rsidR="00A16585" w:rsidRPr="00014389">
        <w:rPr>
          <w:lang w:val="et-EE"/>
        </w:rPr>
        <w:t>kaubale</w:t>
      </w:r>
      <w:r w:rsidRPr="00014389">
        <w:rPr>
          <w:lang w:val="et-EE"/>
        </w:rPr>
        <w:t xml:space="preserve"> </w:t>
      </w:r>
      <w:r w:rsidRPr="00E61D20">
        <w:t>ei ole kolmandatel isikutel mingeid õigusi ega ka alust selliste õiguste taotlemiseks.</w:t>
      </w:r>
    </w:p>
    <w:p w14:paraId="3AC29CB3" w14:textId="77777777" w:rsidR="003E13C2" w:rsidRPr="00E61D20" w:rsidRDefault="003E13C2" w:rsidP="003E13C2">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Maksetingimused</w:t>
      </w:r>
    </w:p>
    <w:p w14:paraId="57024F33" w14:textId="47D7B454" w:rsidR="003E13C2" w:rsidRPr="006C720B" w:rsidRDefault="003E13C2" w:rsidP="00233A45">
      <w:pPr>
        <w:pStyle w:val="HD2"/>
        <w:rPr>
          <w:rFonts w:eastAsia="Calibri"/>
        </w:rPr>
      </w:pPr>
      <w:bookmarkStart w:id="2" w:name="_Toc510985223"/>
      <w:r w:rsidRPr="006C720B">
        <w:rPr>
          <w:rFonts w:eastAsia="Calibri"/>
        </w:rPr>
        <w:t xml:space="preserve">Ostja tasub </w:t>
      </w:r>
      <w:r w:rsidR="00E46209">
        <w:rPr>
          <w:rFonts w:eastAsia="Calibri"/>
        </w:rPr>
        <w:t xml:space="preserve">kauba </w:t>
      </w:r>
      <w:r w:rsidRPr="006C720B">
        <w:rPr>
          <w:rFonts w:eastAsia="Calibri"/>
        </w:rPr>
        <w:t xml:space="preserve">maksumuse </w:t>
      </w:r>
      <w:r w:rsidRPr="001B6737">
        <w:rPr>
          <w:rFonts w:eastAsia="Calibri"/>
        </w:rPr>
        <w:t>14</w:t>
      </w:r>
      <w:r w:rsidRPr="006C720B">
        <w:rPr>
          <w:rFonts w:eastAsia="Calibri"/>
        </w:rPr>
        <w:t xml:space="preserve"> kalendripäeva jooksul arve Ostjale kättetoimetamisest. Arve esitamise eelduseks on riigihanke hanke alusdokumentidest tulenevatel tingimustel </w:t>
      </w:r>
      <w:r w:rsidRPr="006C720B">
        <w:rPr>
          <w:rFonts w:eastAsia="Calibri"/>
        </w:rPr>
        <w:lastRenderedPageBreak/>
        <w:t xml:space="preserve">ja asukohas Lepingu objektiks oleva </w:t>
      </w:r>
      <w:r w:rsidR="00E46209">
        <w:rPr>
          <w:rFonts w:eastAsia="Calibri"/>
        </w:rPr>
        <w:t xml:space="preserve">kauba </w:t>
      </w:r>
      <w:r w:rsidRPr="006C720B">
        <w:rPr>
          <w:rFonts w:eastAsia="Calibri"/>
        </w:rPr>
        <w:t>Ostjale üleandmine</w:t>
      </w:r>
      <w:r w:rsidR="002928D2">
        <w:rPr>
          <w:rFonts w:eastAsia="Calibri"/>
        </w:rPr>
        <w:t xml:space="preserve"> ning </w:t>
      </w:r>
      <w:r w:rsidRPr="006C720B">
        <w:rPr>
          <w:rFonts w:eastAsia="Calibri"/>
        </w:rPr>
        <w:t xml:space="preserve">sellele järgnevalt </w:t>
      </w:r>
      <w:r w:rsidR="00E46209">
        <w:rPr>
          <w:rFonts w:eastAsia="Calibri"/>
        </w:rPr>
        <w:t>kauba</w:t>
      </w:r>
      <w:r w:rsidRPr="006C720B">
        <w:rPr>
          <w:rFonts w:eastAsia="Calibri"/>
        </w:rPr>
        <w:t xml:space="preserve"> üleandmis-vastuvõtuakti allkirjastamine poolte esindajate poolt.</w:t>
      </w:r>
    </w:p>
    <w:p w14:paraId="1EB3A76B" w14:textId="77777777" w:rsidR="003E13C2" w:rsidRPr="006E4CF3" w:rsidRDefault="003E13C2" w:rsidP="00233A45">
      <w:pPr>
        <w:pStyle w:val="HD2"/>
        <w:rPr>
          <w:rFonts w:eastAsia="Calibri"/>
        </w:rPr>
      </w:pPr>
      <w:r w:rsidRPr="006E4CF3">
        <w:rPr>
          <w:rFonts w:eastAsia="Calibri"/>
        </w:rPr>
        <w:t>Arve esitatakse e-arvena, arve esitamise ajahetkel ostja arveoperaatoriks oleva teenuse osutaja kaudu. Arvel tuleb igakordselt ära näidata riigihanke viitenumber. Käesoleva lepingu alusel esitatud arvel ei või kajastada mistahes kolmandate, käesoleva lepingu väliste, kokkulepete alusel müüdavaid kaupu või teenuseid.</w:t>
      </w:r>
    </w:p>
    <w:p w14:paraId="6D2A6B77" w14:textId="77777777" w:rsidR="003E13C2" w:rsidRPr="006E4CF3" w:rsidRDefault="003E13C2" w:rsidP="00233A45">
      <w:pPr>
        <w:pStyle w:val="HD2"/>
        <w:rPr>
          <w:rFonts w:eastAsia="Calibri"/>
          <w:b/>
        </w:rPr>
      </w:pPr>
      <w:r w:rsidRPr="006E4CF3">
        <w:rPr>
          <w:rFonts w:eastAsia="Calibri"/>
        </w:rPr>
        <w:t>Juhul kui müüja näol ei ole tegemist raamatupidamiskohuslasega raamatupidamise seaduse mõistes (s.o Eestis registreeritud era- või avalik-õiguslik juriidiline isik, füüsilisest isikust ettevõtja või Eestis registrisse kantud välismaa äriühingu filiaal), võib müüja esitada arve ostjale elektronkirja eel, .pdf formaadis, aadressil haigla@rh.ee. Käesolevast punktist tuleneva erandi kohaldamise õigus lõppeb kuupäevast mil ostja e-arve operaator liidestatakse PEPPOL süsteemiga, võimaldades müüjal ostjale e-arvete esitamist.</w:t>
      </w:r>
    </w:p>
    <w:p w14:paraId="0F69ABE5" w14:textId="15F41F57" w:rsidR="003E13C2" w:rsidRPr="00E61D20" w:rsidRDefault="00A85F45" w:rsidP="003E13C2">
      <w:pPr>
        <w:numPr>
          <w:ilvl w:val="0"/>
          <w:numId w:val="1"/>
        </w:numPr>
        <w:spacing w:before="120" w:after="0" w:line="240" w:lineRule="auto"/>
        <w:ind w:left="567" w:hanging="425"/>
        <w:jc w:val="both"/>
        <w:outlineLvl w:val="0"/>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Kauba</w:t>
      </w:r>
      <w:r w:rsidR="003E13C2" w:rsidRPr="00E61D20">
        <w:rPr>
          <w:rFonts w:ascii="Times New Roman" w:eastAsia="Calibri" w:hAnsi="Times New Roman" w:cs="Times New Roman"/>
          <w:b/>
          <w:sz w:val="24"/>
          <w:szCs w:val="24"/>
          <w:lang w:bidi="en-US"/>
        </w:rPr>
        <w:t xml:space="preserve"> üleandmise tingimused</w:t>
      </w:r>
      <w:bookmarkEnd w:id="2"/>
    </w:p>
    <w:p w14:paraId="63F426D0" w14:textId="3CBB7D61" w:rsidR="003E13C2" w:rsidRDefault="003E13C2" w:rsidP="00233A45">
      <w:pPr>
        <w:pStyle w:val="HD2"/>
        <w:rPr>
          <w:lang w:val="et-EE" w:eastAsia="ar-SA"/>
        </w:rPr>
      </w:pPr>
      <w:r w:rsidRPr="00E61D20">
        <w:t>Müüja kohustub Le</w:t>
      </w:r>
      <w:r w:rsidRPr="005B31DD">
        <w:t xml:space="preserve">pingu punktis 2.1 nimetatud </w:t>
      </w:r>
      <w:r w:rsidR="00A85F45">
        <w:rPr>
          <w:lang w:val="et-EE"/>
        </w:rPr>
        <w:t xml:space="preserve">kauba </w:t>
      </w:r>
      <w:r w:rsidRPr="005B31DD">
        <w:t xml:space="preserve">andma Ostjale üle </w:t>
      </w:r>
      <w:r w:rsidRPr="005B31DD">
        <w:rPr>
          <w:b/>
        </w:rPr>
        <w:t xml:space="preserve">hiljemalt </w:t>
      </w:r>
      <w:r w:rsidRPr="005B31DD">
        <w:rPr>
          <w:b/>
          <w:lang w:val="et-EE"/>
        </w:rPr>
        <w:t>….. kalendripäeva jooksul</w:t>
      </w:r>
      <w:r w:rsidRPr="005B31DD">
        <w:rPr>
          <w:b/>
        </w:rPr>
        <w:t xml:space="preserve"> Lepingu sõlmimises</w:t>
      </w:r>
      <w:r>
        <w:rPr>
          <w:b/>
        </w:rPr>
        <w:t>t</w:t>
      </w:r>
      <w:r w:rsidRPr="005B31DD">
        <w:t>,</w:t>
      </w:r>
      <w:r w:rsidRPr="00E61D20">
        <w:t xml:space="preserve"> informeerides eelnevalt Ostjat Lepingu objekti faktilise üleandmise kuupäevast. </w:t>
      </w:r>
      <w:r w:rsidR="00A85F45">
        <w:rPr>
          <w:lang w:val="et-EE" w:eastAsia="ar-SA"/>
        </w:rPr>
        <w:t>Kaup</w:t>
      </w:r>
      <w:r w:rsidRPr="00E61D20">
        <w:rPr>
          <w:lang w:eastAsia="ar-SA"/>
        </w:rPr>
        <w:t xml:space="preserve"> antakse üle koos </w:t>
      </w:r>
      <w:r>
        <w:rPr>
          <w:lang w:val="et-EE" w:eastAsia="ar-SA"/>
        </w:rPr>
        <w:t>k</w:t>
      </w:r>
      <w:r w:rsidRPr="00E61D20">
        <w:rPr>
          <w:lang w:eastAsia="ar-SA"/>
        </w:rPr>
        <w:t>asutusjuhendi ja muu</w:t>
      </w:r>
      <w:r>
        <w:rPr>
          <w:lang w:val="et-EE" w:eastAsia="ar-SA"/>
        </w:rPr>
        <w:t xml:space="preserve"> riigihanke hanketingimuste kohaselt</w:t>
      </w:r>
      <w:r w:rsidRPr="00E61D20">
        <w:rPr>
          <w:lang w:eastAsia="ar-SA"/>
        </w:rPr>
        <w:t xml:space="preserve"> juurdekuuluva dokumentatsiooniga</w:t>
      </w:r>
      <w:r>
        <w:rPr>
          <w:lang w:val="et-EE" w:eastAsia="ar-SA"/>
        </w:rPr>
        <w:t>.</w:t>
      </w:r>
    </w:p>
    <w:p w14:paraId="192FAB15" w14:textId="2DB4564A" w:rsidR="00E02CF6" w:rsidRPr="00E02CF6" w:rsidRDefault="00E02CF6" w:rsidP="00233A45">
      <w:pPr>
        <w:pStyle w:val="HD2"/>
      </w:pPr>
      <w:r w:rsidRPr="00E02CF6">
        <w:t xml:space="preserve">Kaupade transport Müüjalt Ostjale toimub Müüja korraldusel ning transpordikulud katab Müüja Ostjalt </w:t>
      </w:r>
      <w:r>
        <w:t>k</w:t>
      </w:r>
      <w:r w:rsidRPr="00E02CF6">
        <w:t>auba eest laekuva tasu arvel.</w:t>
      </w:r>
    </w:p>
    <w:p w14:paraId="27A8EBFE" w14:textId="77777777" w:rsidR="00E64EB8" w:rsidRPr="00E64EB8" w:rsidRDefault="006D5561" w:rsidP="00233A45">
      <w:pPr>
        <w:pStyle w:val="HD2"/>
      </w:pPr>
      <w:r w:rsidRPr="006D5561">
        <w:t>Müüja kohustub Kauba Ostjale üle andma Lõuna põik 1, Rakvere, Lääne-Virumaa. Kaup loetakse vastuvõetuks, kui see on üle antud Lepingus määratud esindajale</w:t>
      </w:r>
      <w:r w:rsidR="00B329B6">
        <w:t xml:space="preserve"> ning </w:t>
      </w:r>
      <w:r w:rsidR="00B329B6" w:rsidRPr="006C720B">
        <w:rPr>
          <w:rFonts w:eastAsia="Calibri"/>
        </w:rPr>
        <w:t xml:space="preserve">sellele järgnevalt </w:t>
      </w:r>
      <w:r w:rsidR="00B329B6">
        <w:rPr>
          <w:rFonts w:eastAsia="Calibri"/>
        </w:rPr>
        <w:t>kauba</w:t>
      </w:r>
      <w:r w:rsidR="00B329B6" w:rsidRPr="006C720B">
        <w:rPr>
          <w:rFonts w:eastAsia="Calibri"/>
        </w:rPr>
        <w:t xml:space="preserve"> üleandmis-vastuvõtuakti allkirjastamine poolte esindajate poolt.</w:t>
      </w:r>
      <w:r w:rsidR="00B329B6">
        <w:rPr>
          <w:rFonts w:eastAsia="Calibri"/>
        </w:rPr>
        <w:t xml:space="preserve"> </w:t>
      </w:r>
    </w:p>
    <w:p w14:paraId="5B51A818" w14:textId="359A5B2E" w:rsidR="003E13C2" w:rsidRPr="00E64EB8" w:rsidRDefault="002A4071" w:rsidP="00233A45">
      <w:pPr>
        <w:pStyle w:val="HD2"/>
      </w:pPr>
      <w:r w:rsidRPr="00E64EB8">
        <w:rPr>
          <w:rFonts w:eastAsia="Calibri"/>
          <w:lang w:bidi="en-US"/>
        </w:rPr>
        <w:t>Kauba</w:t>
      </w:r>
      <w:r w:rsidR="003E13C2" w:rsidRPr="00E64EB8">
        <w:rPr>
          <w:rFonts w:eastAsia="Calibri"/>
          <w:lang w:bidi="en-US"/>
        </w:rPr>
        <w:t xml:space="preserve"> juhusliku hävimise ja kahjustumise riisiko läheb Müüjalt Ostjale üle arvates Lepingu punktis </w:t>
      </w:r>
      <w:r w:rsidRPr="00E64EB8">
        <w:rPr>
          <w:rFonts w:eastAsia="Calibri"/>
          <w:lang w:bidi="en-US"/>
        </w:rPr>
        <w:t>4.3.</w:t>
      </w:r>
      <w:r w:rsidR="003E13C2" w:rsidRPr="00E64EB8">
        <w:rPr>
          <w:rFonts w:eastAsia="Calibri"/>
          <w:lang w:bidi="en-US"/>
        </w:rPr>
        <w:t xml:space="preserve"> nimetatud akti allkirjastamisest.</w:t>
      </w:r>
    </w:p>
    <w:p w14:paraId="66AA7EAD" w14:textId="35F9442B" w:rsidR="003E13C2" w:rsidRDefault="004B2CF5" w:rsidP="003E13C2">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3" w:name="_Toc510985224"/>
      <w:r>
        <w:rPr>
          <w:rFonts w:ascii="Times New Roman" w:eastAsia="Calibri" w:hAnsi="Times New Roman" w:cs="Times New Roman"/>
          <w:b/>
          <w:sz w:val="24"/>
          <w:szCs w:val="24"/>
          <w:lang w:bidi="en-US"/>
        </w:rPr>
        <w:t>Kauba</w:t>
      </w:r>
      <w:r w:rsidR="003E13C2">
        <w:rPr>
          <w:rFonts w:ascii="Times New Roman" w:eastAsia="Calibri" w:hAnsi="Times New Roman" w:cs="Times New Roman"/>
          <w:b/>
          <w:sz w:val="24"/>
          <w:szCs w:val="24"/>
          <w:lang w:bidi="en-US"/>
        </w:rPr>
        <w:t xml:space="preserve"> </w:t>
      </w:r>
      <w:r w:rsidR="003E13C2" w:rsidRPr="00E61D20">
        <w:rPr>
          <w:rFonts w:ascii="Times New Roman" w:eastAsia="Calibri" w:hAnsi="Times New Roman" w:cs="Times New Roman"/>
          <w:b/>
          <w:sz w:val="24"/>
          <w:szCs w:val="24"/>
          <w:lang w:bidi="en-US"/>
        </w:rPr>
        <w:t xml:space="preserve">kvaliteet </w:t>
      </w:r>
      <w:r w:rsidR="003E13C2">
        <w:rPr>
          <w:rFonts w:ascii="Times New Roman" w:eastAsia="Calibri" w:hAnsi="Times New Roman" w:cs="Times New Roman"/>
          <w:b/>
          <w:sz w:val="24"/>
          <w:szCs w:val="24"/>
          <w:lang w:bidi="en-US"/>
        </w:rPr>
        <w:t>ning</w:t>
      </w:r>
      <w:r w:rsidR="003E13C2" w:rsidRPr="00E61D20">
        <w:rPr>
          <w:rFonts w:ascii="Times New Roman" w:eastAsia="Calibri" w:hAnsi="Times New Roman" w:cs="Times New Roman"/>
          <w:b/>
          <w:sz w:val="24"/>
          <w:szCs w:val="24"/>
          <w:lang w:bidi="en-US"/>
        </w:rPr>
        <w:t xml:space="preserve"> vastavus Lepingu tingimustele</w:t>
      </w:r>
      <w:bookmarkEnd w:id="3"/>
    </w:p>
    <w:p w14:paraId="7EF31528" w14:textId="77777777" w:rsidR="00233A45" w:rsidRPr="003A3887" w:rsidRDefault="00233A45" w:rsidP="00233A45">
      <w:pPr>
        <w:pStyle w:val="HD2"/>
      </w:pPr>
      <w:r w:rsidRPr="003A3887">
        <w:t>Lepingu objekti kvaliteet peab vastama HD-s ja pakkumuses sätestatud nõuetele.</w:t>
      </w:r>
    </w:p>
    <w:p w14:paraId="4E7F8C8D" w14:textId="77777777" w:rsidR="00233A45" w:rsidRPr="003A3887" w:rsidRDefault="00233A45" w:rsidP="00233A45">
      <w:pPr>
        <w:pStyle w:val="HD2"/>
      </w:pPr>
      <w:r w:rsidRPr="003A3887">
        <w:t>Lepingus käsitlevad Pooled mõisteid "Lepingu objekti mittekvaliteetsus" ja "Lepingu objekti mittevastavus Lepingule" järgmises tähenduses:</w:t>
      </w:r>
    </w:p>
    <w:p w14:paraId="0E3FE228" w14:textId="77777777" w:rsidR="00233A45" w:rsidRPr="003A3887" w:rsidRDefault="00233A45" w:rsidP="00233A45">
      <w:pPr>
        <w:numPr>
          <w:ilvl w:val="2"/>
          <w:numId w:val="1"/>
        </w:numPr>
        <w:spacing w:after="120" w:line="240" w:lineRule="auto"/>
        <w:ind w:left="1134" w:hanging="567"/>
        <w:jc w:val="both"/>
        <w:rPr>
          <w:rFonts w:ascii="Times New Roman" w:eastAsia="Times New Roman" w:hAnsi="Times New Roman" w:cs="Times New Roman"/>
          <w:sz w:val="24"/>
          <w:szCs w:val="24"/>
        </w:rPr>
      </w:pPr>
      <w:r w:rsidRPr="003A3887">
        <w:rPr>
          <w:rFonts w:ascii="Times New Roman" w:eastAsia="Times New Roman" w:hAnsi="Times New Roman" w:cs="Times New Roman"/>
          <w:sz w:val="24"/>
          <w:szCs w:val="24"/>
        </w:rPr>
        <w:t>Lepingu objekti mittekvaliteetsus - Lepingu objekt ei vasta kvaliteedisertifikaadile või mõnele muule Poolte vahel kokku lepitud Lepingu objekti kvaliteeti tõendavale dokumendile;</w:t>
      </w:r>
    </w:p>
    <w:p w14:paraId="43D3BF58" w14:textId="77777777" w:rsidR="00233A45" w:rsidRPr="003A3887" w:rsidRDefault="00233A45" w:rsidP="00233A45">
      <w:pPr>
        <w:numPr>
          <w:ilvl w:val="2"/>
          <w:numId w:val="1"/>
        </w:numPr>
        <w:spacing w:after="120" w:line="240" w:lineRule="auto"/>
        <w:ind w:left="1134" w:hanging="567"/>
        <w:jc w:val="both"/>
        <w:rPr>
          <w:rFonts w:ascii="Times New Roman" w:eastAsia="Times New Roman" w:hAnsi="Times New Roman" w:cs="Times New Roman"/>
          <w:sz w:val="24"/>
          <w:szCs w:val="24"/>
        </w:rPr>
      </w:pPr>
      <w:r w:rsidRPr="003A3887">
        <w:rPr>
          <w:rFonts w:ascii="Times New Roman" w:eastAsia="Times New Roman" w:hAnsi="Times New Roman" w:cs="Times New Roman"/>
          <w:sz w:val="24"/>
          <w:szCs w:val="24"/>
        </w:rPr>
        <w:t>Lepingu objekti mittevastavus Lepingule - Lepingu objekt on kõlbmatu otstarbeks, milleks säärase kirjeldusega asja harilikult kasutatakse või Lepingu objekt on kõlbmatu selleks eesmärgiks, millest teisele Poolele teatati või Lepingu objekt pole pakitud sellisel viisil, nagu Poolte vahel kokku lepiti või nagu sellist asja harilikult pakitakse või Lepingu objekt ei ole see asi või teenus, mille üleandmises Pooled kokku leppisid.</w:t>
      </w:r>
    </w:p>
    <w:p w14:paraId="2D607042" w14:textId="617A679D" w:rsidR="00233A45" w:rsidRDefault="00233A45" w:rsidP="00233A45">
      <w:pPr>
        <w:pStyle w:val="HD2"/>
      </w:pPr>
      <w:r>
        <w:t xml:space="preserve">Juhul, kui Ostja avastab pärast </w:t>
      </w:r>
      <w:r w:rsidR="00141CED">
        <w:t>k</w:t>
      </w:r>
      <w:r>
        <w:t xml:space="preserve">aupade vastuvõtmist mittevastavuse Lepinguga või mittekvaliteetsuse, teatab ta sellest koheselt Müüjale. Müüja esindaja peab saabuma Ostja asukohta </w:t>
      </w:r>
      <w:r w:rsidR="0060160B">
        <w:t>k</w:t>
      </w:r>
      <w:r>
        <w:t>aupa üle vaatama seitsme (7) päeva jooksul Ostjalt pretensiooni saabumisest. Müüja esindaja juuresolekul koostatakse kahepoolne akt Lepingu objekti puuduste kohta. Juhul kui Müüja esindajat puudust üle vaatama käesolevast punktist tuleneva tähtaja jooksul ei saabu, loetakse Müüja Ostja pretensiooniga nõustunuks.</w:t>
      </w:r>
    </w:p>
    <w:p w14:paraId="333F6AA3" w14:textId="77777777" w:rsidR="00583DB4" w:rsidRDefault="003E13C2" w:rsidP="00583DB4">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bookmarkStart w:id="4" w:name="_Toc510985225"/>
      <w:r w:rsidRPr="00E61D20">
        <w:rPr>
          <w:rFonts w:ascii="Times New Roman" w:eastAsia="Calibri" w:hAnsi="Times New Roman" w:cs="Times New Roman"/>
          <w:b/>
          <w:sz w:val="24"/>
          <w:szCs w:val="24"/>
          <w:lang w:bidi="en-US"/>
        </w:rPr>
        <w:lastRenderedPageBreak/>
        <w:t>Poolte vastutus Lepingu rikkumisel</w:t>
      </w:r>
      <w:bookmarkStart w:id="5" w:name="_Toc510985226"/>
      <w:bookmarkEnd w:id="4"/>
    </w:p>
    <w:p w14:paraId="4B75947C" w14:textId="5A06B305" w:rsidR="00583DB4" w:rsidRPr="00BB12DD" w:rsidRDefault="00583DB4" w:rsidP="00233A45">
      <w:pPr>
        <w:pStyle w:val="HD2"/>
        <w:rPr>
          <w:rFonts w:eastAsia="Calibri"/>
          <w:b/>
          <w:lang w:val="et-EE" w:eastAsia="en-US" w:bidi="en-US"/>
        </w:rPr>
      </w:pPr>
      <w:r w:rsidRPr="00BB12DD">
        <w:t xml:space="preserve">Juhul, kui Müüja viivitab Lepingu objektiks oleva kauba üleandmisega või garantiikohaste kohustuste täitmisega on Ostjal õigus nõuda Müüjalt leppetrahvi 0,1% päevas </w:t>
      </w:r>
      <w:r w:rsidR="00BB12DD" w:rsidRPr="00BB12DD">
        <w:t>lepingu objektiks oleva k</w:t>
      </w:r>
      <w:r w:rsidRPr="00BB12DD">
        <w:t>auba</w:t>
      </w:r>
      <w:r w:rsidR="00BB12DD" w:rsidRPr="00BB12DD">
        <w:t xml:space="preserve"> </w:t>
      </w:r>
      <w:r w:rsidRPr="00BB12DD">
        <w:t xml:space="preserve">kogumaksumusest iga tellitud </w:t>
      </w:r>
      <w:r w:rsidR="00BB12DD" w:rsidRPr="00BB12DD">
        <w:t>k</w:t>
      </w:r>
      <w:r w:rsidRPr="00BB12DD">
        <w:t>aupade üleandmisega ja või toimingu sooritamisega viivitatud kalendripäeva eest.</w:t>
      </w:r>
    </w:p>
    <w:p w14:paraId="000E4AE9" w14:textId="02277A12" w:rsidR="00583DB4" w:rsidRPr="00583DB4" w:rsidRDefault="00583DB4" w:rsidP="00233A45">
      <w:pPr>
        <w:pStyle w:val="HD2"/>
        <w:rPr>
          <w:rFonts w:eastAsia="Calibri"/>
          <w:b/>
          <w:lang w:val="et-EE" w:eastAsia="en-US" w:bidi="en-US"/>
        </w:rPr>
      </w:pPr>
      <w:r w:rsidRPr="00583DB4">
        <w:t>Juhul, kui Ostja viivitab ilma õigusliku aluseta Lepingu objekti eest tasumisega, on Müüjal õigus nõuda Ostjalt viiviseintressi 0,1% päevas tähtaegselt tasumata summalt.</w:t>
      </w:r>
    </w:p>
    <w:p w14:paraId="5E3C77AE" w14:textId="51B1D066" w:rsidR="00583DB4" w:rsidRPr="00583DB4" w:rsidRDefault="00583DB4" w:rsidP="00233A45">
      <w:pPr>
        <w:pStyle w:val="HD2"/>
        <w:rPr>
          <w:rFonts w:eastAsia="Calibri"/>
          <w:b/>
          <w:lang w:val="et-EE" w:eastAsia="en-US" w:bidi="en-US"/>
        </w:rPr>
      </w:pPr>
      <w:r w:rsidRPr="00583DB4">
        <w:t xml:space="preserve">Ostjal on õigus leppetrahvi summa ulatuses teha tasaarveldust Lepingu raames </w:t>
      </w:r>
      <w:r w:rsidR="004A45C1">
        <w:t>k</w:t>
      </w:r>
      <w:r w:rsidRPr="00583DB4">
        <w:t xml:space="preserve">auba eest esitatud arvest, makstes </w:t>
      </w:r>
      <w:r w:rsidR="004A45C1">
        <w:t>k</w:t>
      </w:r>
      <w:r w:rsidRPr="00583DB4">
        <w:t>auba eest leppetrahvi summa võrra vähem.</w:t>
      </w:r>
    </w:p>
    <w:p w14:paraId="421A682A" w14:textId="020D30AD" w:rsidR="00583DB4" w:rsidRPr="00583DB4" w:rsidRDefault="00583DB4" w:rsidP="00233A45">
      <w:pPr>
        <w:pStyle w:val="HD2"/>
        <w:rPr>
          <w:rFonts w:eastAsia="Calibri"/>
          <w:b/>
          <w:lang w:val="et-EE" w:eastAsia="en-US" w:bidi="en-US"/>
        </w:rPr>
      </w:pPr>
      <w:r w:rsidRPr="00583DB4">
        <w:t xml:space="preserve">Müüja kannab Ostja ees täielikku vastutust </w:t>
      </w:r>
      <w:r w:rsidR="004A45C1">
        <w:t>k</w:t>
      </w:r>
      <w:r w:rsidRPr="00583DB4">
        <w:t xml:space="preserve">auba kvaliteedi ja õigusaktidest tulenevatele nõuetele vastavuse eest ka siis, kui kasutab Lepingujärgsete tööde teostamisel alltöövõtjaid. Kui Ostja on kandnud seoses mittekvaliteetse </w:t>
      </w:r>
      <w:r w:rsidR="004A45C1">
        <w:t>k</w:t>
      </w:r>
      <w:r w:rsidRPr="00583DB4">
        <w:t>auba tuvastamisega, asendamisega või kasutamisega kulutusi, kuuluvad need Müüja poolt Ostjale hüvitamisele.</w:t>
      </w:r>
    </w:p>
    <w:p w14:paraId="1864C3A0" w14:textId="39B29FF4" w:rsidR="00583DB4" w:rsidRPr="00583DB4" w:rsidRDefault="00583DB4" w:rsidP="00233A45">
      <w:pPr>
        <w:pStyle w:val="HD2"/>
        <w:rPr>
          <w:rFonts w:eastAsia="Calibri"/>
          <w:b/>
          <w:lang w:val="et-EE" w:eastAsia="en-US" w:bidi="en-US"/>
        </w:rPr>
      </w:pPr>
      <w:r w:rsidRPr="00583DB4">
        <w:t xml:space="preserve">Lepingu alusel Ostjale müüdava </w:t>
      </w:r>
      <w:r w:rsidR="004A45C1">
        <w:t>k</w:t>
      </w:r>
      <w:r w:rsidRPr="00583DB4">
        <w:t>auba kvaliteedi mittevastavustest Eesti Vabariigis kehtivatest õigusaktidest tulenevatele tingimustele ja/või riigihanke hanke alusdokumentides toodud miinimumtingimustele tingitult Ostjale ja/või kolmandatele isikutele tekitatud kahjude ja/või tööseisakute ja/või tööseisakutest tingitud kahjude eest vastutab Ostja ees Müüja.</w:t>
      </w:r>
    </w:p>
    <w:p w14:paraId="07DDE830" w14:textId="1663728B" w:rsidR="003E13C2" w:rsidRPr="00E61D20" w:rsidRDefault="003E13C2" w:rsidP="003E13C2">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b/>
          <w:sz w:val="24"/>
          <w:szCs w:val="24"/>
          <w:lang w:val="x-none" w:eastAsia="x-none"/>
        </w:rPr>
        <w:t>Garantii</w:t>
      </w:r>
      <w:bookmarkEnd w:id="5"/>
    </w:p>
    <w:p w14:paraId="6721263E" w14:textId="745A113A" w:rsidR="003E13C2" w:rsidRPr="00E61D20" w:rsidRDefault="003E13C2" w:rsidP="003E13C2">
      <w:pPr>
        <w:numPr>
          <w:ilvl w:val="1"/>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Üleantava</w:t>
      </w:r>
      <w:r>
        <w:rPr>
          <w:rFonts w:ascii="Times New Roman" w:eastAsia="Times New Roman" w:hAnsi="Times New Roman" w:cs="Times New Roman"/>
          <w:sz w:val="24"/>
          <w:szCs w:val="24"/>
          <w:lang w:eastAsia="x-none"/>
        </w:rPr>
        <w:t>le</w:t>
      </w:r>
      <w:r w:rsidRPr="00E61D20">
        <w:rPr>
          <w:rFonts w:ascii="Times New Roman" w:eastAsia="Times New Roman" w:hAnsi="Times New Roman" w:cs="Times New Roman"/>
          <w:sz w:val="24"/>
          <w:szCs w:val="24"/>
          <w:lang w:val="x-none" w:eastAsia="x-none"/>
        </w:rPr>
        <w:t xml:space="preserve"> </w:t>
      </w:r>
      <w:r w:rsidR="00FE7795">
        <w:rPr>
          <w:rFonts w:ascii="Times New Roman" w:eastAsia="Times New Roman" w:hAnsi="Times New Roman" w:cs="Times New Roman"/>
          <w:sz w:val="24"/>
          <w:szCs w:val="24"/>
          <w:lang w:eastAsia="x-none"/>
        </w:rPr>
        <w:t xml:space="preserve">kaubale </w:t>
      </w:r>
      <w:r w:rsidRPr="00E61D20">
        <w:rPr>
          <w:rFonts w:ascii="Times New Roman" w:eastAsia="Times New Roman" w:hAnsi="Times New Roman" w:cs="Times New Roman"/>
          <w:sz w:val="24"/>
          <w:szCs w:val="24"/>
          <w:lang w:val="x-none" w:eastAsia="x-none"/>
        </w:rPr>
        <w:t xml:space="preserve">kehtib tootja ja/või </w:t>
      </w:r>
      <w:r>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poolne garantii</w:t>
      </w:r>
      <w:r>
        <w:rPr>
          <w:rFonts w:ascii="Times New Roman" w:eastAsia="Times New Roman" w:hAnsi="Times New Roman" w:cs="Times New Roman"/>
          <w:sz w:val="24"/>
          <w:szCs w:val="24"/>
          <w:lang w:val="x-none" w:eastAsia="x-none"/>
        </w:rPr>
        <w:t xml:space="preserve"> .</w:t>
      </w:r>
      <w:r w:rsidR="0060160B">
        <w:rPr>
          <w:rFonts w:ascii="Times New Roman" w:eastAsia="Times New Roman" w:hAnsi="Times New Roman" w:cs="Times New Roman"/>
          <w:sz w:val="24"/>
          <w:szCs w:val="24"/>
          <w:lang w:eastAsia="x-none"/>
        </w:rPr>
        <w:t>............</w:t>
      </w:r>
      <w:r>
        <w:rPr>
          <w:rFonts w:ascii="Times New Roman" w:eastAsia="Times New Roman" w:hAnsi="Times New Roman" w:cs="Times New Roman"/>
          <w:b/>
          <w:sz w:val="24"/>
          <w:szCs w:val="24"/>
          <w:lang w:eastAsia="x-none"/>
        </w:rPr>
        <w:t xml:space="preserve"> kalendri</w:t>
      </w:r>
      <w:r w:rsidRPr="00E61D20">
        <w:rPr>
          <w:rFonts w:ascii="Times New Roman" w:eastAsia="Times New Roman" w:hAnsi="Times New Roman" w:cs="Times New Roman"/>
          <w:b/>
          <w:sz w:val="24"/>
          <w:szCs w:val="24"/>
          <w:lang w:val="x-none" w:eastAsia="x-none"/>
        </w:rPr>
        <w:t>kuud</w:t>
      </w:r>
      <w:r w:rsidRPr="00E61D20">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 xml:space="preserve">Garantiiperiood algab </w:t>
      </w:r>
      <w:r w:rsidR="00FE7795">
        <w:rPr>
          <w:rFonts w:ascii="Times New Roman" w:eastAsia="Times New Roman" w:hAnsi="Times New Roman" w:cs="Times New Roman"/>
          <w:sz w:val="24"/>
          <w:szCs w:val="24"/>
          <w:lang w:val="x-none" w:eastAsia="x-none"/>
        </w:rPr>
        <w:t>kauba</w:t>
      </w:r>
      <w:r w:rsidRPr="00E61D20">
        <w:rPr>
          <w:rFonts w:ascii="Times New Roman" w:eastAsia="Times New Roman" w:hAnsi="Times New Roman" w:cs="Times New Roman"/>
          <w:sz w:val="24"/>
          <w:szCs w:val="24"/>
          <w:lang w:val="x-none" w:eastAsia="x-none"/>
        </w:rPr>
        <w:t xml:space="preserve"> üleandmise-vastuvõtmise akti allkirjastamise kuupäevast.</w:t>
      </w:r>
      <w:r>
        <w:rPr>
          <w:rFonts w:ascii="Times New Roman" w:eastAsia="Times New Roman" w:hAnsi="Times New Roman" w:cs="Times New Roman"/>
          <w:sz w:val="24"/>
          <w:szCs w:val="24"/>
          <w:lang w:eastAsia="x-none"/>
        </w:rPr>
        <w:t xml:space="preserve"> Garantii ei laiene Ostja süülisest tegevusest või raskest hooletusest tingitud riketele nagu ka </w:t>
      </w:r>
      <w:r w:rsidR="00ED1585">
        <w:rPr>
          <w:rFonts w:ascii="Times New Roman" w:eastAsia="Times New Roman" w:hAnsi="Times New Roman" w:cs="Times New Roman"/>
          <w:sz w:val="24"/>
          <w:szCs w:val="24"/>
          <w:lang w:eastAsia="x-none"/>
        </w:rPr>
        <w:t xml:space="preserve">kauba </w:t>
      </w:r>
      <w:r>
        <w:rPr>
          <w:rFonts w:ascii="Times New Roman" w:eastAsia="Times New Roman" w:hAnsi="Times New Roman" w:cs="Times New Roman"/>
          <w:sz w:val="24"/>
          <w:szCs w:val="24"/>
          <w:lang w:eastAsia="x-none"/>
        </w:rPr>
        <w:t>tavapärase kasutamisega kaasnevale mehaanilisele kulumisele</w:t>
      </w:r>
      <w:r w:rsidR="00ED1585">
        <w:rPr>
          <w:rFonts w:ascii="Times New Roman" w:eastAsia="Times New Roman" w:hAnsi="Times New Roman" w:cs="Times New Roman"/>
          <w:sz w:val="24"/>
          <w:szCs w:val="24"/>
          <w:lang w:eastAsia="x-none"/>
        </w:rPr>
        <w:t>.</w:t>
      </w:r>
    </w:p>
    <w:p w14:paraId="3D569E40" w14:textId="19F1A0E9" w:rsidR="003E13C2" w:rsidRPr="00E61D20" w:rsidRDefault="003E13C2" w:rsidP="003E13C2">
      <w:pPr>
        <w:numPr>
          <w:ilvl w:val="1"/>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 xml:space="preserve">Informatsiooni edastamise kohustus ning kohustus menetleda ohujuhtumeid: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kohustub edastama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volitatud esindajale igakülgse informatsiooni tarnitud </w:t>
      </w:r>
      <w:r w:rsidR="00FA6DBB">
        <w:rPr>
          <w:rFonts w:ascii="Times New Roman" w:eastAsia="Calibri" w:hAnsi="Times New Roman" w:cs="Times New Roman"/>
          <w:sz w:val="24"/>
          <w:szCs w:val="24"/>
          <w:lang w:bidi="en-US"/>
        </w:rPr>
        <w:t xml:space="preserve">kauba </w:t>
      </w:r>
      <w:r w:rsidRPr="00E61D20">
        <w:rPr>
          <w:rFonts w:ascii="Times New Roman" w:eastAsia="Calibri" w:hAnsi="Times New Roman" w:cs="Times New Roman"/>
          <w:sz w:val="24"/>
          <w:szCs w:val="24"/>
          <w:lang w:bidi="en-US"/>
        </w:rPr>
        <w:t xml:space="preserve">kohta, teatama koheselt lepinguperioodil ilmnenud negatiivsetest omadustest, teaduslikest ja kliinilistest avastustest, mis puudutavad tarnitud </w:t>
      </w:r>
      <w:r w:rsidR="00FA6DBB">
        <w:rPr>
          <w:rFonts w:ascii="Times New Roman" w:eastAsia="Calibri" w:hAnsi="Times New Roman" w:cs="Times New Roman"/>
          <w:sz w:val="24"/>
          <w:szCs w:val="24"/>
          <w:lang w:bidi="en-US"/>
        </w:rPr>
        <w:t xml:space="preserve">kaupa </w:t>
      </w:r>
      <w:r w:rsidRPr="00E61D20">
        <w:rPr>
          <w:rFonts w:ascii="Times New Roman" w:eastAsia="Calibri" w:hAnsi="Times New Roman" w:cs="Times New Roman"/>
          <w:sz w:val="24"/>
          <w:szCs w:val="24"/>
          <w:lang w:bidi="en-US"/>
        </w:rPr>
        <w:t>ning kohustub rakendama/paigaldama meetmed, mis tootja on välja töötanud edaspidiseks ohujuhtumi kordumise välistamiseks.</w:t>
      </w:r>
    </w:p>
    <w:p w14:paraId="425AF969" w14:textId="77777777" w:rsidR="003E13C2" w:rsidRPr="007D38A5" w:rsidRDefault="003E13C2" w:rsidP="003E13C2">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6" w:name="_Toc510985227"/>
      <w:r w:rsidRPr="007D38A5">
        <w:rPr>
          <w:rFonts w:ascii="Times New Roman" w:eastAsia="Calibri" w:hAnsi="Times New Roman" w:cs="Times New Roman"/>
          <w:b/>
          <w:sz w:val="24"/>
          <w:szCs w:val="24"/>
          <w:lang w:bidi="en-US"/>
        </w:rPr>
        <w:t>Lepingu kehtivus</w:t>
      </w:r>
      <w:bookmarkEnd w:id="6"/>
    </w:p>
    <w:p w14:paraId="371F073D" w14:textId="5A6204E2" w:rsidR="003E13C2" w:rsidRPr="006D7292" w:rsidRDefault="003E13C2" w:rsidP="00233A45">
      <w:pPr>
        <w:pStyle w:val="HD2"/>
      </w:pPr>
      <w:bookmarkStart w:id="7" w:name="_Toc510985228"/>
      <w:r w:rsidRPr="006D7292">
        <w:t xml:space="preserve">Leping jõustub selle allkirjastamisest </w:t>
      </w:r>
      <w:r>
        <w:rPr>
          <w:lang w:val="et-EE"/>
        </w:rPr>
        <w:t>Poolte</w:t>
      </w:r>
      <w:r w:rsidRPr="006D7292">
        <w:t xml:space="preserve"> poolt v.a Lepingu automaatsel jõustumisel Lepingu punktist </w:t>
      </w:r>
      <w:r w:rsidR="007D38A5">
        <w:rPr>
          <w:lang w:val="et-EE"/>
        </w:rPr>
        <w:t>8</w:t>
      </w:r>
      <w:r>
        <w:rPr>
          <w:lang w:val="et-EE"/>
        </w:rPr>
        <w:t>.2</w:t>
      </w:r>
      <w:r w:rsidRPr="006D7292">
        <w:t xml:space="preserve">. tulenevatel tingimustel  ja korras. </w:t>
      </w:r>
      <w:r>
        <w:rPr>
          <w:lang w:val="et-EE"/>
        </w:rPr>
        <w:t xml:space="preserve">Leping kehtib kuni Poolte poolt on Lepingust tulenevad tingimused kohaselt täidetud v.a kui Leping lõpeb/lõpetatakse Lepingu punktist </w:t>
      </w:r>
      <w:r w:rsidR="007D38A5">
        <w:rPr>
          <w:lang w:val="et-EE"/>
        </w:rPr>
        <w:t>8</w:t>
      </w:r>
      <w:r>
        <w:rPr>
          <w:lang w:val="et-EE"/>
        </w:rPr>
        <w:t xml:space="preserve">.3. ja/või </w:t>
      </w:r>
      <w:r w:rsidR="007D38A5">
        <w:rPr>
          <w:lang w:val="et-EE"/>
        </w:rPr>
        <w:t>8</w:t>
      </w:r>
      <w:r>
        <w:rPr>
          <w:lang w:val="et-EE"/>
        </w:rPr>
        <w:t>.4. tulenevatel alustel ennetähtaegselt.</w:t>
      </w:r>
    </w:p>
    <w:p w14:paraId="3C657DB0" w14:textId="77777777" w:rsidR="003E13C2" w:rsidRPr="006D7292" w:rsidRDefault="003E13C2" w:rsidP="00233A45">
      <w:pPr>
        <w:pStyle w:val="HD2"/>
      </w:pPr>
      <w:r w:rsidRPr="006D7292">
        <w:t xml:space="preserve">Juhul kui Müüja ei ole saatnud allkirjastatud Lepingut Ostjale tagasi hiljemalt </w:t>
      </w:r>
      <w:r>
        <w:t>viie (</w:t>
      </w:r>
      <w:r>
        <w:rPr>
          <w:lang w:val="et-EE"/>
        </w:rPr>
        <w:t>5)</w:t>
      </w:r>
      <w:r w:rsidRPr="006D7292">
        <w:t xml:space="preserve"> kalendripäeva jooksul Ostjalt Lepingu sõlmimise ettepaneku saamisest, kuulub Ostjale õigus lugeda Leping Poolte vahel sõlmituks ja automaatselt jõustunuks </w:t>
      </w:r>
      <w:r>
        <w:t>viie (</w:t>
      </w:r>
      <w:r>
        <w:rPr>
          <w:lang w:val="et-EE"/>
        </w:rPr>
        <w:t>5)</w:t>
      </w:r>
      <w:r w:rsidRPr="006D7292">
        <w:t xml:space="preserve"> kalendripäeva möödumisel Ostja poolt Müüjale Lepingu sõlmimise ettepaneku saatmise kuupäevast, st Ostja võib võtta käesolevast punktist tuleneva tähtaja möödumisel Müüjale Lepingu sõlmimise ettepaneku tegemisest vastu Müüja poolt riigihankele pakkumuse esitamisega Ostjale esitatud lepingu sõlmimise ettepaneku</w:t>
      </w:r>
      <w:r w:rsidRPr="006D7292">
        <w:rPr>
          <w:i/>
        </w:rPr>
        <w:t>/oferdi</w:t>
      </w:r>
      <w:r w:rsidRPr="006D7292">
        <w:t xml:space="preserve">. Viimasel juhul loetakse Leping sõlmituks Poolte siduvate tahteavalduste  vahetamise teel kirjalikku taasesitamist võimaldavas vormis. </w:t>
      </w:r>
    </w:p>
    <w:p w14:paraId="1C938A34" w14:textId="77777777" w:rsidR="003E13C2" w:rsidRDefault="003E13C2" w:rsidP="00233A45">
      <w:pPr>
        <w:pStyle w:val="HD2"/>
      </w:pPr>
      <w:r w:rsidRPr="00E61D20">
        <w:lastRenderedPageBreak/>
        <w:t>Lepingut võib lõpetada ennetähtaegselt Poolte kokkuleppel. Üks Pool võib lõpetada Lepingu ühepoolselt ennetähtaegselt seaduses ettenähtud juhtudel.</w:t>
      </w:r>
    </w:p>
    <w:p w14:paraId="6329A862" w14:textId="77777777" w:rsidR="003E13C2" w:rsidRPr="00D30228" w:rsidRDefault="003E13C2" w:rsidP="00233A45">
      <w:pPr>
        <w:pStyle w:val="HD2"/>
      </w:pPr>
      <w:r w:rsidRPr="00D30228">
        <w:t>Ostjale kuulub õigus öelda leping mistahes ajal korraliselt ülesse, teatades sellest Müüjale vähemalt kolm (3) kuud ette. Käesolevast punktist tuleneva etteteatamise tähtaja järgimisel puudub Müüjal õigus esitada Ostja vastu seoses lepingu lõpetamisega mistahes saamata jäänud tulu, kahjude hüvitamise, leppetrahvi vms nõudeid.</w:t>
      </w:r>
    </w:p>
    <w:p w14:paraId="502D99FB" w14:textId="77777777" w:rsidR="003E13C2" w:rsidRPr="00E61D20" w:rsidRDefault="003E13C2" w:rsidP="00233A45">
      <w:pPr>
        <w:pStyle w:val="HD2"/>
      </w:pPr>
      <w:r w:rsidRPr="00E61D20">
        <w:t>Müüja kohustub Lepingu Müüjapoolsel ennetähtaegsel lõpetamisel hüvitama Ostjale Ostja nõudel kõik Lepingu ennetähtaegsest lõpetamisest tulenevad kahjud (sealhulgas ka teiselt müüjalt samalaadse toote või hooldusteenuse ostmisest tingitud kulud).</w:t>
      </w:r>
    </w:p>
    <w:p w14:paraId="00791EFC" w14:textId="77777777" w:rsidR="003E13C2" w:rsidRPr="00E61D20" w:rsidRDefault="003E13C2" w:rsidP="003E13C2">
      <w:pPr>
        <w:numPr>
          <w:ilvl w:val="0"/>
          <w:numId w:val="1"/>
        </w:numPr>
        <w:spacing w:before="120" w:after="0" w:line="240" w:lineRule="auto"/>
        <w:ind w:left="425" w:hanging="425"/>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Vääramatu jõud</w:t>
      </w:r>
      <w:bookmarkEnd w:id="7"/>
    </w:p>
    <w:p w14:paraId="41A65322" w14:textId="77777777" w:rsidR="003E13C2" w:rsidRPr="003A3887" w:rsidRDefault="003E13C2" w:rsidP="00233A45">
      <w:pPr>
        <w:pStyle w:val="HD2"/>
      </w:pPr>
      <w:bookmarkStart w:id="8" w:name="_Toc510985229"/>
      <w:r w:rsidRPr="003A3887">
        <w:t>Lepingust tulenevate kohustuste mittetäitmist või mittenõuetekohast täitmist ei loeta lepingu rikkumiseks, kui selle põhjuseks olid Võlaõigusseaduses sätestatud “vääramatu jõu” asjaolud.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24D011ED" w14:textId="77777777" w:rsidR="003E13C2" w:rsidRPr="003A3887" w:rsidRDefault="003E13C2" w:rsidP="00233A45">
      <w:pPr>
        <w:pStyle w:val="HD2"/>
      </w:pPr>
      <w:r w:rsidRPr="003A3887">
        <w:t>Pool, kelle tegevus lepingujärgsete kohustuste täitmisel on takistatud ettenägemata asjaolude tõttu, on kohustatud sellest viivitamatult teatama teisele poolele vahenditega, mis tagavad teate kiireima edastamise, samas saates välja tähitud kirjaga teate.</w:t>
      </w:r>
    </w:p>
    <w:p w14:paraId="5D4C767B" w14:textId="77777777" w:rsidR="003E13C2" w:rsidRPr="003A3887" w:rsidRDefault="003E13C2" w:rsidP="00233A45">
      <w:pPr>
        <w:pStyle w:val="HD2"/>
        <w:rPr>
          <w:b/>
          <w:sz w:val="20"/>
        </w:rPr>
      </w:pPr>
      <w:r w:rsidRPr="003A3887">
        <w:t>Lepingust tulenevate kohustuste mittetäitmist või mittenõuetekohast täitmist ei loeta Lepingu rikkumiseks, kui selle põhjuseks olid asjaolud, mille saabumist Pooled Lepingu sõlmimisel ette ei näinud ega võinud ette näha ja seda asjaolu ei saanud Pooled mõjutada (vääramatu jõud). Vääramatu jõuna käesoleva Lepingu mõistes ei käsitleta pandeemiat või muud sise- või välisriiklikku, sh kuid mitte ainult Covid-SARS2 viiruspuhangust või Lepingu sõlmimise ajal teada olnud sõjalisest seisukorrast või streigist tingitud, eriolukorda või eelnimetatuga vahetult seotud asjaolusid.</w:t>
      </w:r>
    </w:p>
    <w:p w14:paraId="596A2E2A" w14:textId="77777777" w:rsidR="003E13C2" w:rsidRPr="00E61D20" w:rsidRDefault="003E13C2" w:rsidP="003E13C2">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Pooltevahelised teated</w:t>
      </w:r>
      <w:bookmarkEnd w:id="8"/>
      <w:r w:rsidRPr="00E61D20">
        <w:rPr>
          <w:rFonts w:ascii="Times New Roman" w:eastAsia="Calibri" w:hAnsi="Times New Roman" w:cs="Times New Roman"/>
          <w:b/>
          <w:sz w:val="24"/>
          <w:szCs w:val="24"/>
          <w:lang w:bidi="en-US"/>
        </w:rPr>
        <w:t xml:space="preserve"> </w:t>
      </w:r>
    </w:p>
    <w:p w14:paraId="5979E729" w14:textId="77777777" w:rsidR="003E13C2" w:rsidRPr="00E61D20" w:rsidRDefault="003E13C2" w:rsidP="003E13C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Lepinguga seotud teated tuleb edastada Poolte Lepingus märgitud aadressidele. Teadete edastamine toimub</w:t>
      </w:r>
      <w:r>
        <w:rPr>
          <w:rFonts w:ascii="Times New Roman" w:eastAsia="Calibri" w:hAnsi="Times New Roman" w:cs="Times New Roman"/>
          <w:sz w:val="24"/>
          <w:szCs w:val="24"/>
          <w:lang w:bidi="en-US"/>
        </w:rPr>
        <w:t xml:space="preserve"> reeglina</w:t>
      </w:r>
      <w:r w:rsidRPr="00E61D20">
        <w:rPr>
          <w:rFonts w:ascii="Times New Roman" w:eastAsia="Calibri" w:hAnsi="Times New Roman" w:cs="Times New Roman"/>
          <w:sz w:val="24"/>
          <w:szCs w:val="24"/>
          <w:lang w:bidi="en-US"/>
        </w:rPr>
        <w:t xml:space="preserve"> e-posti teel, v.a. Lepingus ettenähtud erijuhtudel.</w:t>
      </w:r>
    </w:p>
    <w:p w14:paraId="34A5EAEF" w14:textId="77777777" w:rsidR="003E13C2" w:rsidRPr="00E61D20" w:rsidRDefault="003E13C2" w:rsidP="003E13C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Nõuded seoses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mittekvaliteetsuse või Lepingu tingimustele mittevastavusega, samuti teated Lepingu lõpetamise kohta ning kahju ja/või viivise nõuded esitatakse teisele Poolele kirjalikus vormis. Teade loetakse kätteantuks, kui teade on üle antud allkirja vastu või teade on saadetud postiasutuse poolt tähitud kirjaga ja postitamisest on möödunud </w:t>
      </w:r>
      <w:r>
        <w:rPr>
          <w:rFonts w:ascii="Times New Roman" w:eastAsia="Calibri" w:hAnsi="Times New Roman" w:cs="Times New Roman"/>
          <w:sz w:val="24"/>
          <w:szCs w:val="24"/>
          <w:lang w:eastAsia="ar-SA" w:bidi="en-US"/>
        </w:rPr>
        <w:t xml:space="preserve">viis (5) </w:t>
      </w:r>
      <w:r w:rsidRPr="00E61D20">
        <w:rPr>
          <w:rFonts w:ascii="Times New Roman" w:eastAsia="Calibri" w:hAnsi="Times New Roman" w:cs="Times New Roman"/>
          <w:sz w:val="24"/>
          <w:szCs w:val="24"/>
          <w:lang w:eastAsia="ar-SA" w:bidi="en-US"/>
        </w:rPr>
        <w:t>kalendripäeva. E-posti teel edastatud teated loetakse kohale</w:t>
      </w:r>
      <w:r>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 xml:space="preserve">toimetatuks, kui </w:t>
      </w:r>
      <w:r>
        <w:rPr>
          <w:rFonts w:ascii="Times New Roman" w:eastAsia="Calibri" w:hAnsi="Times New Roman" w:cs="Times New Roman"/>
          <w:sz w:val="24"/>
          <w:szCs w:val="24"/>
          <w:lang w:eastAsia="ar-SA" w:bidi="en-US"/>
        </w:rPr>
        <w:t>teate saatmisest on möödunud üks (1) tööpäev, kusjuures vajadusel tõendab teate saatnud pool teate saatmise toimumist ning aega elektronkirja/serveri logifailiga</w:t>
      </w:r>
      <w:r w:rsidRPr="00E61D20">
        <w:rPr>
          <w:rFonts w:ascii="Times New Roman" w:eastAsia="Calibri" w:hAnsi="Times New Roman" w:cs="Times New Roman"/>
          <w:sz w:val="24"/>
          <w:szCs w:val="24"/>
          <w:lang w:bidi="en-US"/>
        </w:rPr>
        <w:t>.</w:t>
      </w:r>
    </w:p>
    <w:p w14:paraId="5C32A0E6" w14:textId="77777777" w:rsidR="003E13C2" w:rsidRPr="00094487" w:rsidRDefault="003E13C2" w:rsidP="00233A45">
      <w:pPr>
        <w:pStyle w:val="HD2"/>
      </w:pPr>
      <w:r w:rsidRPr="00094487">
        <w:t>Ostja kontaktisikuteks Lepingu raames on:</w:t>
      </w:r>
    </w:p>
    <w:p w14:paraId="1D537BBC" w14:textId="37D77431" w:rsidR="003E13C2" w:rsidRPr="00606A08" w:rsidRDefault="00A85F45" w:rsidP="003E13C2">
      <w:pPr>
        <w:numPr>
          <w:ilvl w:val="2"/>
          <w:numId w:val="1"/>
        </w:numPr>
        <w:suppressAutoHyphens/>
        <w:spacing w:after="0" w:line="240" w:lineRule="auto"/>
        <w:ind w:left="993" w:hanging="850"/>
        <w:jc w:val="both"/>
        <w:rPr>
          <w:rFonts w:ascii="Times New Roman" w:eastAsia="Calibri" w:hAnsi="Times New Roman" w:cs="Times New Roman"/>
          <w:sz w:val="24"/>
          <w:szCs w:val="24"/>
          <w:lang w:eastAsia="ar-SA" w:bidi="en-US"/>
        </w:rPr>
      </w:pPr>
      <w:r>
        <w:rPr>
          <w:rFonts w:ascii="Times New Roman" w:eastAsia="Times New Roman" w:hAnsi="Times New Roman" w:cs="Times New Roman"/>
          <w:spacing w:val="-6"/>
          <w:sz w:val="24"/>
          <w:szCs w:val="24"/>
          <w:lang w:bidi="en-US"/>
        </w:rPr>
        <w:t xml:space="preserve">Kauba </w:t>
      </w:r>
      <w:r w:rsidR="003E13C2" w:rsidRPr="005F3FBA">
        <w:rPr>
          <w:rFonts w:ascii="Times New Roman" w:eastAsia="Times New Roman" w:hAnsi="Times New Roman" w:cs="Times New Roman"/>
          <w:spacing w:val="-6"/>
          <w:sz w:val="24"/>
          <w:szCs w:val="24"/>
          <w:lang w:bidi="en-US"/>
        </w:rPr>
        <w:t xml:space="preserve">vastu võtmisel, </w:t>
      </w:r>
      <w:r w:rsidR="00A65FC3">
        <w:rPr>
          <w:rFonts w:ascii="Times New Roman" w:eastAsia="Times New Roman" w:hAnsi="Times New Roman" w:cs="Times New Roman"/>
          <w:spacing w:val="-6"/>
          <w:sz w:val="24"/>
          <w:szCs w:val="24"/>
          <w:lang w:bidi="en-US"/>
        </w:rPr>
        <w:t xml:space="preserve">kontroll- ja </w:t>
      </w:r>
      <w:r w:rsidR="003E13C2" w:rsidRPr="005F3FBA">
        <w:rPr>
          <w:rFonts w:ascii="Times New Roman" w:eastAsia="Times New Roman" w:hAnsi="Times New Roman" w:cs="Times New Roman"/>
          <w:spacing w:val="-6"/>
          <w:sz w:val="24"/>
          <w:szCs w:val="24"/>
          <w:lang w:bidi="en-US"/>
        </w:rPr>
        <w:t xml:space="preserve">hooldustööde </w:t>
      </w:r>
      <w:r w:rsidR="00BB556A">
        <w:rPr>
          <w:rFonts w:ascii="Times New Roman" w:eastAsia="Times New Roman" w:hAnsi="Times New Roman" w:cs="Times New Roman"/>
          <w:spacing w:val="-6"/>
          <w:sz w:val="24"/>
          <w:szCs w:val="24"/>
          <w:lang w:bidi="en-US"/>
        </w:rPr>
        <w:t xml:space="preserve">jms küsimustes </w:t>
      </w:r>
      <w:bookmarkStart w:id="9" w:name="_Hlk54594089"/>
      <w:r w:rsidR="003E13C2" w:rsidRPr="005F3FBA">
        <w:rPr>
          <w:rFonts w:ascii="Times New Roman" w:eastAsia="Times New Roman" w:hAnsi="Times New Roman" w:cs="Times New Roman"/>
          <w:spacing w:val="-6"/>
          <w:sz w:val="24"/>
          <w:szCs w:val="24"/>
          <w:lang w:bidi="en-US"/>
        </w:rPr>
        <w:t>……...…….</w:t>
      </w:r>
      <w:r w:rsidR="003E13C2" w:rsidRPr="005F3FBA">
        <w:rPr>
          <w:rFonts w:ascii="Times New Roman" w:eastAsia="Times New Roman" w:hAnsi="Times New Roman" w:cs="Times New Roman"/>
          <w:sz w:val="24"/>
          <w:szCs w:val="24"/>
          <w:lang w:bidi="en-US"/>
        </w:rPr>
        <w:t xml:space="preserve">, telefon ……..….., e-post </w:t>
      </w:r>
      <w:hyperlink r:id="rId10" w:history="1">
        <w:r w:rsidR="003E13C2" w:rsidRPr="005F3FBA">
          <w:rPr>
            <w:rStyle w:val="Hyperlink"/>
            <w:rFonts w:ascii="Times New Roman" w:eastAsia="Calibri" w:hAnsi="Times New Roman" w:cs="Times New Roman"/>
            <w:sz w:val="24"/>
            <w:szCs w:val="24"/>
          </w:rPr>
          <w:t>............@rh.ee</w:t>
        </w:r>
      </w:hyperlink>
      <w:bookmarkEnd w:id="9"/>
      <w:r w:rsidR="003E13C2" w:rsidRPr="005F3FBA">
        <w:rPr>
          <w:rFonts w:ascii="Times New Roman" w:eastAsia="Times New Roman" w:hAnsi="Times New Roman" w:cs="Times New Roman"/>
          <w:sz w:val="24"/>
          <w:szCs w:val="24"/>
          <w:lang w:bidi="en-US"/>
        </w:rPr>
        <w:t xml:space="preserve"> või tema poolt määratud </w:t>
      </w:r>
      <w:r w:rsidR="003E13C2">
        <w:rPr>
          <w:rFonts w:ascii="Times New Roman" w:eastAsia="Times New Roman" w:hAnsi="Times New Roman" w:cs="Times New Roman"/>
          <w:sz w:val="24"/>
          <w:szCs w:val="24"/>
          <w:lang w:bidi="en-US"/>
        </w:rPr>
        <w:t>asendaja;</w:t>
      </w:r>
    </w:p>
    <w:p w14:paraId="7C603B15" w14:textId="77777777" w:rsidR="003E13C2" w:rsidRPr="00094487" w:rsidRDefault="003E13C2" w:rsidP="003E13C2">
      <w:pPr>
        <w:numPr>
          <w:ilvl w:val="2"/>
          <w:numId w:val="1"/>
        </w:numPr>
        <w:suppressAutoHyphens/>
        <w:spacing w:after="0" w:line="240" w:lineRule="auto"/>
        <w:ind w:left="993" w:hanging="850"/>
        <w:jc w:val="both"/>
        <w:rPr>
          <w:rFonts w:ascii="Times New Roman" w:eastAsia="Calibri" w:hAnsi="Times New Roman" w:cs="Times New Roman"/>
          <w:sz w:val="24"/>
          <w:szCs w:val="24"/>
          <w:lang w:eastAsia="ar-SA" w:bidi="en-US"/>
        </w:rPr>
      </w:pPr>
      <w:r w:rsidRPr="00094487">
        <w:rPr>
          <w:rFonts w:ascii="Times New Roman" w:eastAsia="Times New Roman" w:hAnsi="Times New Roman" w:cs="Times New Roman"/>
          <w:sz w:val="24"/>
          <w:szCs w:val="24"/>
          <w:lang w:bidi="en-US"/>
        </w:rPr>
        <w:t xml:space="preserve">lepingulistes küsimustes ……..…., telefon ……...., e-post </w:t>
      </w:r>
      <w:hyperlink r:id="rId11" w:history="1">
        <w:r w:rsidRPr="00094487">
          <w:rPr>
            <w:rStyle w:val="Hyperlink"/>
            <w:rFonts w:ascii="Times New Roman" w:eastAsia="Times New Roman" w:hAnsi="Times New Roman" w:cs="Times New Roman"/>
            <w:sz w:val="24"/>
            <w:szCs w:val="24"/>
          </w:rPr>
          <w:t>...........@rh.ee</w:t>
        </w:r>
      </w:hyperlink>
      <w:r w:rsidRPr="00094487">
        <w:rPr>
          <w:rFonts w:ascii="Times New Roman" w:eastAsia="Times New Roman" w:hAnsi="Times New Roman" w:cs="Times New Roman"/>
          <w:sz w:val="24"/>
          <w:szCs w:val="24"/>
          <w:lang w:bidi="en-US"/>
        </w:rPr>
        <w:t xml:space="preserve"> või tema poolt määratud asendaja.</w:t>
      </w:r>
    </w:p>
    <w:p w14:paraId="12C7968F" w14:textId="77777777" w:rsidR="003E13C2" w:rsidRDefault="003E13C2" w:rsidP="003E13C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Müüja kontaktisik</w:t>
      </w:r>
      <w:r>
        <w:rPr>
          <w:rFonts w:ascii="Times New Roman" w:eastAsia="Calibri" w:hAnsi="Times New Roman" w:cs="Times New Roman"/>
          <w:sz w:val="24"/>
          <w:szCs w:val="24"/>
          <w:lang w:bidi="en-US"/>
        </w:rPr>
        <w:t>uteks Lepingu raames on</w:t>
      </w:r>
      <w:r w:rsidRPr="00E61D20">
        <w:rPr>
          <w:rFonts w:ascii="Times New Roman" w:eastAsia="Calibri" w:hAnsi="Times New Roman" w:cs="Times New Roman"/>
          <w:sz w:val="24"/>
          <w:szCs w:val="24"/>
          <w:lang w:bidi="en-US"/>
        </w:rPr>
        <w:t>:</w:t>
      </w:r>
    </w:p>
    <w:p w14:paraId="0DE79E3B" w14:textId="77777777" w:rsidR="003E13C2" w:rsidRDefault="003E13C2" w:rsidP="003E13C2">
      <w:pPr>
        <w:numPr>
          <w:ilvl w:val="2"/>
          <w:numId w:val="1"/>
        </w:numPr>
        <w:spacing w:after="0" w:line="240" w:lineRule="auto"/>
        <w:ind w:left="99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w:t>
      </w:r>
      <w:r w:rsidRPr="00E61D20">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 xml:space="preserve"> seotud küsimustes ....</w:t>
      </w:r>
      <w:r w:rsidRPr="00E61D20">
        <w:rPr>
          <w:rFonts w:ascii="Times New Roman" w:eastAsia="Calibri" w:hAnsi="Times New Roman" w:cs="Times New Roman"/>
          <w:sz w:val="24"/>
          <w:szCs w:val="24"/>
          <w:lang w:bidi="en-US"/>
        </w:rPr>
        <w:t>…</w:t>
      </w:r>
    </w:p>
    <w:p w14:paraId="09ADEC58" w14:textId="77777777" w:rsidR="003E13C2" w:rsidRPr="00E61D20" w:rsidRDefault="003E13C2" w:rsidP="003E13C2">
      <w:pPr>
        <w:numPr>
          <w:ilvl w:val="2"/>
          <w:numId w:val="1"/>
        </w:numPr>
        <w:spacing w:after="0" w:line="240" w:lineRule="auto"/>
        <w:ind w:left="993" w:hanging="851"/>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seotud küsimustes ....…</w:t>
      </w:r>
    </w:p>
    <w:p w14:paraId="70509434" w14:textId="77777777" w:rsidR="003E13C2" w:rsidRPr="00E61D20" w:rsidRDefault="003E13C2" w:rsidP="003E13C2">
      <w:pPr>
        <w:keepNext/>
        <w:keepLines/>
        <w:numPr>
          <w:ilvl w:val="0"/>
          <w:numId w:val="1"/>
        </w:numPr>
        <w:spacing w:before="120" w:after="0" w:line="240" w:lineRule="auto"/>
        <w:jc w:val="both"/>
        <w:outlineLvl w:val="0"/>
        <w:rPr>
          <w:rFonts w:ascii="Times New Roman" w:eastAsia="Calibri" w:hAnsi="Times New Roman" w:cs="Times New Roman"/>
          <w:b/>
          <w:sz w:val="24"/>
          <w:szCs w:val="24"/>
          <w:lang w:bidi="en-US"/>
        </w:rPr>
      </w:pPr>
      <w:bookmarkStart w:id="10" w:name="_Toc510985231"/>
      <w:r w:rsidRPr="00E61D20">
        <w:rPr>
          <w:rFonts w:ascii="Times New Roman" w:eastAsia="Calibri" w:hAnsi="Times New Roman" w:cs="Times New Roman"/>
          <w:b/>
          <w:sz w:val="24"/>
          <w:szCs w:val="24"/>
          <w:lang w:eastAsia="ar-SA" w:bidi="en-US"/>
        </w:rPr>
        <w:lastRenderedPageBreak/>
        <w:t>Konfidentsiaalsuse kokkulepe</w:t>
      </w:r>
    </w:p>
    <w:p w14:paraId="5E527D7C" w14:textId="77777777" w:rsidR="003E13C2" w:rsidRPr="00E61D20" w:rsidRDefault="003E13C2" w:rsidP="00233A45">
      <w:pPr>
        <w:pStyle w:val="HD2"/>
      </w:pPr>
      <w:r w:rsidRPr="00E61D20">
        <w:t>Ostja loeb konfidentsiaalseks kogu mitteavaliku teabe, mis saab Lepingu poolele teatavaks Lepingu järgset teenust osutades. Müüja kohustub hoidma saladuses Ostjalt ükskõik mis vormis saadud informatsiooni, millele Ostja on osutanud kui konfidentsiaalsele või mille konfidentsiaalsust võib mõistlikult eeldada ning kasutama seda ainult Lepingu täitmiseks, sealhulgas tagama töödeldavate isikuandmete konfidentsiaalsuse.</w:t>
      </w:r>
    </w:p>
    <w:p w14:paraId="1DA4DBC9" w14:textId="77777777" w:rsidR="003E13C2" w:rsidRPr="00E61D20" w:rsidRDefault="003E13C2" w:rsidP="00233A45">
      <w:pPr>
        <w:pStyle w:val="HD2"/>
      </w:pPr>
      <w:r w:rsidRPr="00E61D20">
        <w:t>Müüja peab tegema kõik temast oleneva, et vältida Ostja olemuselt konfidentsiaalse informatsiooni sattumist kolmandate isikute kätte.</w:t>
      </w:r>
    </w:p>
    <w:p w14:paraId="58906A69" w14:textId="77777777" w:rsidR="003E13C2" w:rsidRPr="00E61D20" w:rsidRDefault="003E13C2" w:rsidP="00233A45">
      <w:pPr>
        <w:pStyle w:val="HD2"/>
      </w:pPr>
      <w:r w:rsidRPr="00E61D20">
        <w:t>Pooled kohustuvad teise Poole eest mitte varjama turvaintsidente. Pool teavitab teist Poolt koheselt, kui tundlik informatsioon on sattunud kolmandate isikute kätte. Pooled võtavad viivitamatult ette abinõud endise olukorra taastamiseks või edasiste turvaintsidentide ärahoidmiseks.</w:t>
      </w:r>
    </w:p>
    <w:p w14:paraId="374F276B" w14:textId="77777777" w:rsidR="003E13C2" w:rsidRPr="00E61D20" w:rsidRDefault="003E13C2" w:rsidP="00233A45">
      <w:pPr>
        <w:pStyle w:val="HD2"/>
      </w:pPr>
      <w:r w:rsidRPr="00E61D20">
        <w:t>Konfidentsiaalsuskohustus ei hõlma informatsiooni:</w:t>
      </w:r>
    </w:p>
    <w:p w14:paraId="72A81593" w14:textId="77777777" w:rsidR="003E13C2" w:rsidRPr="00E61D20" w:rsidRDefault="003E13C2" w:rsidP="003E13C2">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mis on üldiselt kättesaadav või avalik;</w:t>
      </w:r>
    </w:p>
    <w:p w14:paraId="3550A336" w14:textId="77777777" w:rsidR="003E13C2" w:rsidRDefault="003E13C2" w:rsidP="003E13C2">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avaldamiseks on Ostja kirjalik nõusolek;</w:t>
      </w:r>
    </w:p>
    <w:p w14:paraId="71921D5D" w14:textId="77777777" w:rsidR="003E13C2" w:rsidRPr="00E61D20" w:rsidRDefault="003E13C2" w:rsidP="003E13C2">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 kohustus tuleneb seadusest.</w:t>
      </w:r>
    </w:p>
    <w:p w14:paraId="0D7D7552" w14:textId="77777777" w:rsidR="003E13C2" w:rsidRPr="00E61D20" w:rsidRDefault="003E13C2" w:rsidP="00233A45">
      <w:pPr>
        <w:pStyle w:val="HD2"/>
      </w:pPr>
      <w:r w:rsidRPr="00E61D20">
        <w:t>Käesolevas punktis sätestatud õigused ja kohustused kehtivad tähtajatult pärast Lepingu lõppemist. Müüja kohustub teavitama oma töötajaid Lepingust tulenevast konfidentsiaalsuskohustusest ning tagama, et töötajad jälgivad Lepingus sätestatud nõudeid.</w:t>
      </w:r>
    </w:p>
    <w:p w14:paraId="210A7A12" w14:textId="77777777" w:rsidR="003E13C2" w:rsidRPr="00E61D20" w:rsidRDefault="003E13C2" w:rsidP="00233A45">
      <w:pPr>
        <w:pStyle w:val="HD2"/>
      </w:pPr>
      <w:r w:rsidRPr="00E61D20">
        <w:t>Konfidentsiaalsuskohustust rikkunud Müüja on Ostja nõudmisel kohustatud hüvitama tekitatud kahju.</w:t>
      </w:r>
    </w:p>
    <w:p w14:paraId="29F9CF9E" w14:textId="77777777" w:rsidR="003E13C2" w:rsidRPr="00E61D20" w:rsidRDefault="003E13C2" w:rsidP="003E13C2">
      <w:pPr>
        <w:keepNext/>
        <w:keepLines/>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Muud tingimused</w:t>
      </w:r>
      <w:bookmarkEnd w:id="10"/>
    </w:p>
    <w:p w14:paraId="6F9EBA62" w14:textId="77777777" w:rsidR="003E13C2" w:rsidRPr="00766C82" w:rsidRDefault="003E13C2" w:rsidP="00233A45">
      <w:pPr>
        <w:pStyle w:val="HD2"/>
        <w:rPr>
          <w:rFonts w:eastAsiaTheme="majorEastAsia"/>
          <w:color w:val="000000" w:themeColor="text1"/>
        </w:rPr>
      </w:pPr>
      <w:r w:rsidRPr="003A3887">
        <w:t>Lepingu tingimusi võib muuta ainult Poolte kirjalikul kokkuleppel.</w:t>
      </w:r>
    </w:p>
    <w:p w14:paraId="37614793" w14:textId="77777777" w:rsidR="003E13C2" w:rsidRPr="00E61D20" w:rsidRDefault="003E13C2" w:rsidP="003E13C2">
      <w:pPr>
        <w:keepNext/>
        <w:keepLines/>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Kõik Lepingust tulenevad erimeelsused püütakse lahendada läbirääkimiste teel. Juhul, kui läbirääkimised ei anna tulemusi, lahendatakse vaidlus kohtu korras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asukohajärgses kohtus.</w:t>
      </w:r>
    </w:p>
    <w:p w14:paraId="2A03A38D" w14:textId="77777777" w:rsidR="003E13C2" w:rsidRPr="00E61D20" w:rsidRDefault="003E13C2" w:rsidP="003E13C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 tühistab kõik pooltevahelised Lepingu objekti puudutavad varasemad suulised või kirjalikud kokkulepped.</w:t>
      </w:r>
    </w:p>
    <w:p w14:paraId="68A62732" w14:textId="77777777" w:rsidR="003E13C2" w:rsidRPr="003A3887" w:rsidRDefault="003E13C2" w:rsidP="003E13C2">
      <w:pPr>
        <w:numPr>
          <w:ilvl w:val="0"/>
          <w:numId w:val="1"/>
        </w:numPr>
        <w:spacing w:before="120" w:after="0" w:line="240" w:lineRule="auto"/>
        <w:ind w:left="357" w:hanging="357"/>
        <w:jc w:val="both"/>
        <w:outlineLvl w:val="0"/>
        <w:rPr>
          <w:rFonts w:ascii="Times New Roman" w:eastAsia="Times New Roman" w:hAnsi="Times New Roman" w:cs="Times New Roman"/>
          <w:b/>
          <w:sz w:val="24"/>
          <w:szCs w:val="24"/>
        </w:rPr>
      </w:pPr>
      <w:r w:rsidRPr="003A3887">
        <w:rPr>
          <w:rFonts w:ascii="Times New Roman" w:eastAsia="Times New Roman" w:hAnsi="Times New Roman" w:cs="Times New Roman"/>
          <w:b/>
          <w:sz w:val="24"/>
          <w:szCs w:val="24"/>
        </w:rPr>
        <w:t>Poolte andmed</w:t>
      </w:r>
    </w:p>
    <w:tbl>
      <w:tblPr>
        <w:tblW w:w="0" w:type="auto"/>
        <w:tblLayout w:type="fixed"/>
        <w:tblLook w:val="04A0" w:firstRow="1" w:lastRow="0" w:firstColumn="1" w:lastColumn="0" w:noHBand="0" w:noVBand="1"/>
      </w:tblPr>
      <w:tblGrid>
        <w:gridCol w:w="4620"/>
        <w:gridCol w:w="4620"/>
      </w:tblGrid>
      <w:tr w:rsidR="003E13C2" w:rsidRPr="00EC3451" w14:paraId="2F12FEF8" w14:textId="77777777" w:rsidTr="008B737D">
        <w:tc>
          <w:tcPr>
            <w:tcW w:w="4620" w:type="dxa"/>
            <w:hideMark/>
          </w:tcPr>
          <w:p w14:paraId="493A943D" w14:textId="7F14074B" w:rsidR="003E13C2" w:rsidRPr="00EC3451" w:rsidRDefault="003E13C2" w:rsidP="008B737D">
            <w:pPr>
              <w:spacing w:after="0" w:line="240" w:lineRule="auto"/>
              <w:ind w:left="357"/>
              <w:jc w:val="both"/>
              <w:rPr>
                <w:rFonts w:ascii="Times New Roman" w:hAnsi="Times New Roman" w:cs="Times New Roman"/>
                <w:b/>
                <w:sz w:val="24"/>
                <w:szCs w:val="24"/>
              </w:rPr>
            </w:pPr>
            <w:r w:rsidRPr="00EC3451">
              <w:rPr>
                <w:rFonts w:ascii="Times New Roman" w:hAnsi="Times New Roman" w:cs="Times New Roman"/>
                <w:b/>
                <w:sz w:val="24"/>
                <w:szCs w:val="24"/>
              </w:rPr>
              <w:t>1</w:t>
            </w:r>
            <w:r w:rsidR="0043000C">
              <w:rPr>
                <w:rFonts w:ascii="Times New Roman" w:hAnsi="Times New Roman" w:cs="Times New Roman"/>
                <w:b/>
                <w:sz w:val="24"/>
                <w:szCs w:val="24"/>
              </w:rPr>
              <w:t>3</w:t>
            </w:r>
            <w:r w:rsidRPr="00EC3451">
              <w:rPr>
                <w:rFonts w:ascii="Times New Roman" w:hAnsi="Times New Roman" w:cs="Times New Roman"/>
                <w:b/>
                <w:sz w:val="24"/>
                <w:szCs w:val="24"/>
              </w:rPr>
              <w:t>.1. Ostja:</w:t>
            </w:r>
          </w:p>
          <w:p w14:paraId="6755B14A" w14:textId="77777777" w:rsidR="003E13C2" w:rsidRPr="00EC3451" w:rsidRDefault="003E13C2" w:rsidP="008B737D">
            <w:pPr>
              <w:spacing w:after="0" w:line="240" w:lineRule="auto"/>
              <w:ind w:left="357"/>
              <w:jc w:val="both"/>
              <w:rPr>
                <w:rFonts w:ascii="Times New Roman" w:hAnsi="Times New Roman" w:cs="Times New Roman"/>
                <w:b/>
                <w:sz w:val="24"/>
                <w:szCs w:val="24"/>
              </w:rPr>
            </w:pPr>
            <w:r w:rsidRPr="00EC3451">
              <w:rPr>
                <w:rFonts w:ascii="Times New Roman" w:hAnsi="Times New Roman" w:cs="Times New Roman"/>
                <w:sz w:val="24"/>
                <w:szCs w:val="24"/>
              </w:rPr>
              <w:t>Aktsiaselts Rakvere Haigla</w:t>
            </w:r>
          </w:p>
          <w:p w14:paraId="5D7F4883" w14:textId="77777777" w:rsidR="003E13C2" w:rsidRPr="00EC3451" w:rsidRDefault="003E13C2" w:rsidP="008B737D">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Registrikood 108566241</w:t>
            </w:r>
          </w:p>
          <w:p w14:paraId="770DA141" w14:textId="77777777" w:rsidR="003E13C2" w:rsidRPr="00EC3451" w:rsidRDefault="003E13C2" w:rsidP="008B737D">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Lõuna põik 1, 44316, RAKVERE</w:t>
            </w:r>
          </w:p>
          <w:p w14:paraId="60F02862" w14:textId="77777777" w:rsidR="003E13C2" w:rsidRPr="00EC3451" w:rsidRDefault="003E13C2" w:rsidP="008B737D">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Tel +372 3229010</w:t>
            </w:r>
          </w:p>
          <w:p w14:paraId="784A157C" w14:textId="77777777" w:rsidR="003E13C2" w:rsidRPr="00EC3451" w:rsidRDefault="003E13C2" w:rsidP="008B737D">
            <w:pPr>
              <w:spacing w:after="0" w:line="240" w:lineRule="auto"/>
              <w:ind w:left="357"/>
              <w:jc w:val="both"/>
              <w:rPr>
                <w:rFonts w:ascii="Times New Roman" w:eastAsia="Times New Roman" w:hAnsi="Times New Roman" w:cs="Times New Roman"/>
                <w:sz w:val="24"/>
                <w:szCs w:val="24"/>
              </w:rPr>
            </w:pPr>
            <w:r w:rsidRPr="00EC3451">
              <w:rPr>
                <w:rFonts w:ascii="Times New Roman" w:eastAsia="Times New Roman" w:hAnsi="Times New Roman" w:cs="Times New Roman"/>
                <w:sz w:val="24"/>
                <w:szCs w:val="24"/>
              </w:rPr>
              <w:t xml:space="preserve">e-post: </w:t>
            </w:r>
            <w:hyperlink r:id="rId12" w:history="1">
              <w:r w:rsidRPr="00EC3451">
                <w:rPr>
                  <w:rFonts w:ascii="Times New Roman" w:eastAsiaTheme="majorEastAsia" w:hAnsi="Times New Roman" w:cs="Times New Roman"/>
                  <w:color w:val="0000FF"/>
                  <w:sz w:val="24"/>
                  <w:szCs w:val="24"/>
                  <w:u w:val="single"/>
                </w:rPr>
                <w:t>haigla@rh.ee</w:t>
              </w:r>
            </w:hyperlink>
          </w:p>
        </w:tc>
        <w:tc>
          <w:tcPr>
            <w:tcW w:w="4620" w:type="dxa"/>
            <w:hideMark/>
          </w:tcPr>
          <w:p w14:paraId="4D2726BD" w14:textId="565DBC46" w:rsidR="003E13C2" w:rsidRPr="00EC3451" w:rsidRDefault="003E13C2" w:rsidP="008B737D">
            <w:pPr>
              <w:spacing w:after="0" w:line="240" w:lineRule="auto"/>
              <w:ind w:left="357"/>
              <w:jc w:val="both"/>
              <w:outlineLvl w:val="0"/>
              <w:rPr>
                <w:rFonts w:ascii="Times New Roman" w:hAnsi="Times New Roman" w:cs="Times New Roman"/>
                <w:b/>
                <w:sz w:val="24"/>
                <w:szCs w:val="24"/>
              </w:rPr>
            </w:pPr>
            <w:r w:rsidRPr="00EC3451">
              <w:rPr>
                <w:rFonts w:ascii="Times New Roman" w:hAnsi="Times New Roman" w:cs="Times New Roman"/>
                <w:b/>
                <w:sz w:val="24"/>
                <w:szCs w:val="24"/>
              </w:rPr>
              <w:t>1</w:t>
            </w:r>
            <w:r w:rsidR="0043000C">
              <w:rPr>
                <w:rFonts w:ascii="Times New Roman" w:hAnsi="Times New Roman" w:cs="Times New Roman"/>
                <w:b/>
                <w:sz w:val="24"/>
                <w:szCs w:val="24"/>
              </w:rPr>
              <w:t>3</w:t>
            </w:r>
            <w:r w:rsidRPr="00EC3451">
              <w:rPr>
                <w:rFonts w:ascii="Times New Roman" w:hAnsi="Times New Roman" w:cs="Times New Roman"/>
                <w:b/>
                <w:sz w:val="24"/>
                <w:szCs w:val="24"/>
              </w:rPr>
              <w:t>.2. Müüja:</w:t>
            </w:r>
          </w:p>
          <w:p w14:paraId="720601B1" w14:textId="77777777" w:rsidR="003E13C2" w:rsidRPr="00EC3451" w:rsidRDefault="003E13C2" w:rsidP="008B737D">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sz w:val="24"/>
                <w:szCs w:val="24"/>
              </w:rPr>
              <w:t>...................................</w:t>
            </w:r>
          </w:p>
          <w:p w14:paraId="6B7BC5C1" w14:textId="77777777" w:rsidR="003E13C2" w:rsidRPr="00EC3451" w:rsidRDefault="003E13C2" w:rsidP="008B737D">
            <w:pPr>
              <w:keepNext/>
              <w:keepLines/>
              <w:spacing w:after="0" w:line="240" w:lineRule="auto"/>
              <w:ind w:left="357"/>
              <w:jc w:val="both"/>
              <w:outlineLvl w:val="1"/>
              <w:rPr>
                <w:rFonts w:ascii="Times New Roman" w:eastAsiaTheme="majorEastAsia" w:hAnsi="Times New Roman" w:cs="Times New Roman"/>
                <w:sz w:val="24"/>
                <w:szCs w:val="24"/>
              </w:rPr>
            </w:pPr>
            <w:r w:rsidRPr="00EC3451">
              <w:rPr>
                <w:rFonts w:ascii="Times New Roman" w:eastAsiaTheme="majorEastAsia" w:hAnsi="Times New Roman" w:cs="Times New Roman"/>
                <w:sz w:val="24"/>
                <w:szCs w:val="24"/>
              </w:rPr>
              <w:t>Registrikood .............</w:t>
            </w:r>
          </w:p>
          <w:p w14:paraId="065E7108" w14:textId="77777777" w:rsidR="003E13C2" w:rsidRPr="00EC3451" w:rsidRDefault="003E13C2" w:rsidP="008B737D">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bCs/>
                <w:sz w:val="24"/>
                <w:szCs w:val="24"/>
              </w:rPr>
              <w:t>...................................</w:t>
            </w:r>
          </w:p>
          <w:p w14:paraId="7022F361" w14:textId="77777777" w:rsidR="003E13C2" w:rsidRPr="00EC3451" w:rsidRDefault="003E13C2" w:rsidP="008B737D">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sz w:val="24"/>
                <w:szCs w:val="24"/>
              </w:rPr>
              <w:t>Tel .............................</w:t>
            </w:r>
          </w:p>
          <w:p w14:paraId="07DFC847" w14:textId="77777777" w:rsidR="003E13C2" w:rsidRPr="00EC3451" w:rsidRDefault="003E13C2" w:rsidP="008B737D">
            <w:pPr>
              <w:spacing w:after="0" w:line="240" w:lineRule="auto"/>
              <w:ind w:left="357"/>
              <w:jc w:val="both"/>
              <w:rPr>
                <w:rFonts w:ascii="Times New Roman" w:eastAsia="Times New Roman" w:hAnsi="Times New Roman" w:cs="Times New Roman"/>
                <w:sz w:val="24"/>
                <w:szCs w:val="24"/>
              </w:rPr>
            </w:pPr>
            <w:r w:rsidRPr="00EC3451">
              <w:rPr>
                <w:rFonts w:ascii="Times New Roman" w:eastAsia="Times New Roman" w:hAnsi="Times New Roman" w:cs="Times New Roman"/>
                <w:sz w:val="24"/>
                <w:szCs w:val="24"/>
              </w:rPr>
              <w:t>e-post: .......................</w:t>
            </w:r>
          </w:p>
        </w:tc>
      </w:tr>
    </w:tbl>
    <w:p w14:paraId="06CC4C42" w14:textId="77777777" w:rsidR="003E13C2" w:rsidRDefault="003E13C2" w:rsidP="003E13C2">
      <w:pPr>
        <w:tabs>
          <w:tab w:val="left" w:pos="3680"/>
        </w:tabs>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eastAsia="et-EE"/>
        </w:rPr>
      </w:pPr>
      <w:r w:rsidRPr="00EC3451">
        <w:rPr>
          <w:rFonts w:ascii="Times New Roman" w:eastAsia="Times New Roman" w:hAnsi="Times New Roman" w:cs="Times New Roman"/>
          <w:b/>
          <w:color w:val="000000"/>
          <w:sz w:val="24"/>
          <w:szCs w:val="24"/>
          <w:lang w:eastAsia="et-EE"/>
        </w:rPr>
        <w:t>________________________</w:t>
      </w:r>
      <w:r w:rsidRPr="00EC3451">
        <w:rPr>
          <w:rFonts w:ascii="Times New Roman" w:eastAsia="Times New Roman" w:hAnsi="Times New Roman" w:cs="Times New Roman"/>
          <w:b/>
          <w:color w:val="000000"/>
          <w:sz w:val="24"/>
          <w:szCs w:val="24"/>
          <w:lang w:eastAsia="et-EE"/>
        </w:rPr>
        <w:tab/>
      </w:r>
      <w:r w:rsidRPr="00EC3451">
        <w:rPr>
          <w:rFonts w:ascii="Times New Roman" w:eastAsia="Times New Roman" w:hAnsi="Times New Roman" w:cs="Times New Roman"/>
          <w:b/>
          <w:color w:val="000000"/>
          <w:sz w:val="24"/>
          <w:szCs w:val="24"/>
          <w:lang w:eastAsia="et-EE"/>
        </w:rPr>
        <w:tab/>
      </w:r>
      <w:r w:rsidRPr="00EC3451">
        <w:rPr>
          <w:rFonts w:ascii="Times New Roman" w:eastAsia="Times New Roman" w:hAnsi="Times New Roman" w:cs="Times New Roman"/>
          <w:b/>
          <w:color w:val="000000"/>
          <w:sz w:val="24"/>
          <w:szCs w:val="24"/>
          <w:lang w:eastAsia="et-EE"/>
        </w:rPr>
        <w:tab/>
        <w:t>_____________________</w:t>
      </w:r>
    </w:p>
    <w:p w14:paraId="6696437C" w14:textId="77777777" w:rsidR="003E13C2" w:rsidRPr="003A3887" w:rsidRDefault="003E13C2" w:rsidP="003E13C2">
      <w:pPr>
        <w:tabs>
          <w:tab w:val="left" w:pos="3680"/>
        </w:tabs>
        <w:autoSpaceDE w:val="0"/>
        <w:autoSpaceDN w:val="0"/>
        <w:adjustRightInd w:val="0"/>
        <w:spacing w:after="0" w:line="240" w:lineRule="auto"/>
        <w:ind w:left="357"/>
        <w:jc w:val="both"/>
        <w:rPr>
          <w:rFonts w:ascii="Times New Roman" w:eastAsia="Times New Roman" w:hAnsi="Times New Roman" w:cs="Times New Roman"/>
          <w:sz w:val="24"/>
          <w:szCs w:val="24"/>
          <w:lang w:eastAsia="ar-SA"/>
        </w:rPr>
      </w:pPr>
      <w:r w:rsidRPr="003A3887">
        <w:rPr>
          <w:rFonts w:ascii="Times New Roman" w:eastAsia="Times New Roman" w:hAnsi="Times New Roman" w:cs="Times New Roman"/>
          <w:i/>
          <w:color w:val="000000"/>
          <w:sz w:val="24"/>
          <w:szCs w:val="24"/>
          <w:lang w:eastAsia="et-EE"/>
        </w:rPr>
        <w:t>/Allkirjastatud digitaalselt/</w:t>
      </w:r>
      <w:r w:rsidRPr="003A3887">
        <w:rPr>
          <w:rFonts w:ascii="Times New Roman" w:eastAsia="Times New Roman" w:hAnsi="Times New Roman" w:cs="Times New Roman"/>
          <w:i/>
          <w:color w:val="000000"/>
          <w:sz w:val="24"/>
          <w:szCs w:val="24"/>
          <w:lang w:eastAsia="et-EE"/>
        </w:rPr>
        <w:tab/>
      </w:r>
      <w:r w:rsidRPr="003A3887">
        <w:rPr>
          <w:rFonts w:ascii="Times New Roman" w:eastAsia="Times New Roman" w:hAnsi="Times New Roman" w:cs="Times New Roman"/>
          <w:i/>
          <w:color w:val="000000"/>
          <w:sz w:val="24"/>
          <w:szCs w:val="24"/>
          <w:lang w:eastAsia="et-EE"/>
        </w:rPr>
        <w:tab/>
      </w:r>
      <w:r w:rsidRPr="003A3887">
        <w:rPr>
          <w:rFonts w:ascii="Times New Roman" w:eastAsia="Times New Roman" w:hAnsi="Times New Roman" w:cs="Times New Roman"/>
          <w:i/>
          <w:color w:val="000000"/>
          <w:sz w:val="24"/>
          <w:szCs w:val="24"/>
          <w:lang w:eastAsia="et-EE"/>
        </w:rPr>
        <w:tab/>
      </w:r>
      <w:bookmarkStart w:id="11" w:name="_Hlk19870840"/>
      <w:r w:rsidRPr="003A3887">
        <w:rPr>
          <w:rFonts w:ascii="Times New Roman" w:eastAsia="Times New Roman" w:hAnsi="Times New Roman" w:cs="Times New Roman"/>
          <w:i/>
          <w:color w:val="000000"/>
          <w:sz w:val="24"/>
          <w:szCs w:val="24"/>
          <w:lang w:eastAsia="et-EE"/>
        </w:rPr>
        <w:t>/Allkirjastatud digitaalselt/</w:t>
      </w:r>
      <w:bookmarkEnd w:id="11"/>
    </w:p>
    <w:p w14:paraId="66408B11" w14:textId="77777777" w:rsidR="00A803B1" w:rsidRDefault="00A803B1"/>
    <w:sectPr w:rsidR="00A803B1" w:rsidSect="003E13C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F54C" w14:textId="77777777" w:rsidR="002D6858" w:rsidRDefault="002D6858" w:rsidP="00E537F2">
      <w:pPr>
        <w:spacing w:after="0" w:line="240" w:lineRule="auto"/>
      </w:pPr>
      <w:r>
        <w:separator/>
      </w:r>
    </w:p>
  </w:endnote>
  <w:endnote w:type="continuationSeparator" w:id="0">
    <w:p w14:paraId="3763A0E6" w14:textId="77777777" w:rsidR="002D6858" w:rsidRDefault="002D6858" w:rsidP="00E537F2">
      <w:pPr>
        <w:spacing w:after="0" w:line="240" w:lineRule="auto"/>
      </w:pPr>
      <w:r>
        <w:continuationSeparator/>
      </w:r>
    </w:p>
  </w:endnote>
  <w:endnote w:type="continuationNotice" w:id="1">
    <w:p w14:paraId="6C96B6C2" w14:textId="77777777" w:rsidR="002D6858" w:rsidRDefault="002D6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463820"/>
      <w:docPartObj>
        <w:docPartGallery w:val="Page Numbers (Bottom of Page)"/>
        <w:docPartUnique/>
      </w:docPartObj>
    </w:sdtPr>
    <w:sdtEndPr/>
    <w:sdtContent>
      <w:sdt>
        <w:sdtPr>
          <w:id w:val="-1769616900"/>
          <w:docPartObj>
            <w:docPartGallery w:val="Page Numbers (Top of Page)"/>
            <w:docPartUnique/>
          </w:docPartObj>
        </w:sdtPr>
        <w:sdtEndPr/>
        <w:sdtContent>
          <w:p w14:paraId="2DA7DF23" w14:textId="77777777" w:rsidR="00831665" w:rsidRDefault="00C23B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281B8E" w14:textId="77777777" w:rsidR="00831665" w:rsidRDefault="0083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F180C" w14:textId="77777777" w:rsidR="002D6858" w:rsidRDefault="002D6858" w:rsidP="00E537F2">
      <w:pPr>
        <w:spacing w:after="0" w:line="240" w:lineRule="auto"/>
      </w:pPr>
      <w:r>
        <w:separator/>
      </w:r>
    </w:p>
  </w:footnote>
  <w:footnote w:type="continuationSeparator" w:id="0">
    <w:p w14:paraId="402152A1" w14:textId="77777777" w:rsidR="002D6858" w:rsidRDefault="002D6858" w:rsidP="00E537F2">
      <w:pPr>
        <w:spacing w:after="0" w:line="240" w:lineRule="auto"/>
      </w:pPr>
      <w:r>
        <w:continuationSeparator/>
      </w:r>
    </w:p>
  </w:footnote>
  <w:footnote w:type="continuationNotice" w:id="1">
    <w:p w14:paraId="1691199B" w14:textId="77777777" w:rsidR="002D6858" w:rsidRDefault="002D6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6435C"/>
    <w:multiLevelType w:val="multilevel"/>
    <w:tmpl w:val="AEDA6352"/>
    <w:lvl w:ilvl="0">
      <w:start w:val="1"/>
      <w:numFmt w:val="decimal"/>
      <w:lvlText w:val="%1."/>
      <w:lvlJc w:val="left"/>
      <w:pPr>
        <w:ind w:left="525" w:hanging="525"/>
      </w:pPr>
      <w:rPr>
        <w:b/>
        <w:bCs/>
      </w:rPr>
    </w:lvl>
    <w:lvl w:ilvl="1">
      <w:start w:val="1"/>
      <w:numFmt w:val="decimal"/>
      <w:lvlText w:val="%1.%2."/>
      <w:lvlJc w:val="left"/>
      <w:pPr>
        <w:ind w:left="525" w:hanging="525"/>
      </w:pPr>
      <w:rPr>
        <w:b w:val="0"/>
        <w:bCs/>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D88557D"/>
    <w:multiLevelType w:val="multilevel"/>
    <w:tmpl w:val="BE843D50"/>
    <w:lvl w:ilvl="0">
      <w:start w:val="1"/>
      <w:numFmt w:val="decimal"/>
      <w:lvlText w:val="%1."/>
      <w:lvlJc w:val="left"/>
      <w:pPr>
        <w:ind w:left="360" w:hanging="360"/>
      </w:pPr>
      <w:rPr>
        <w:rFonts w:cs="Times New Roman"/>
        <w:b/>
      </w:rPr>
    </w:lvl>
    <w:lvl w:ilvl="1">
      <w:start w:val="1"/>
      <w:numFmt w:val="decimal"/>
      <w:pStyle w:val="HD2"/>
      <w:lvlText w:val="%1.%2."/>
      <w:lvlJc w:val="left"/>
      <w:pPr>
        <w:ind w:left="716" w:hanging="432"/>
      </w:pPr>
      <w:rPr>
        <w:rFonts w:cs="Times New Roman"/>
        <w:b w:val="0"/>
        <w:bCs/>
        <w:strike w:val="0"/>
        <w:lang w:val="et-EE"/>
      </w:rPr>
    </w:lvl>
    <w:lvl w:ilvl="2">
      <w:start w:val="1"/>
      <w:numFmt w:val="decimal"/>
      <w:lvlText w:val="%1.%2.%3."/>
      <w:lvlJc w:val="left"/>
      <w:pPr>
        <w:ind w:left="1922"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6022101">
    <w:abstractNumId w:val="1"/>
  </w:num>
  <w:num w:numId="2" w16cid:durableId="166416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C2"/>
    <w:rsid w:val="00014389"/>
    <w:rsid w:val="0003168C"/>
    <w:rsid w:val="00050A51"/>
    <w:rsid w:val="00090564"/>
    <w:rsid w:val="000C7D98"/>
    <w:rsid w:val="000E0679"/>
    <w:rsid w:val="000E0971"/>
    <w:rsid w:val="00103ACC"/>
    <w:rsid w:val="00141CED"/>
    <w:rsid w:val="00181F65"/>
    <w:rsid w:val="001E68AD"/>
    <w:rsid w:val="00233882"/>
    <w:rsid w:val="00233A45"/>
    <w:rsid w:val="002928D2"/>
    <w:rsid w:val="002A4071"/>
    <w:rsid w:val="002D6858"/>
    <w:rsid w:val="00322106"/>
    <w:rsid w:val="00332F1A"/>
    <w:rsid w:val="00372A9E"/>
    <w:rsid w:val="003E13C2"/>
    <w:rsid w:val="0043000C"/>
    <w:rsid w:val="0045595B"/>
    <w:rsid w:val="004A45C1"/>
    <w:rsid w:val="004B2CF5"/>
    <w:rsid w:val="00583DB4"/>
    <w:rsid w:val="00590125"/>
    <w:rsid w:val="00592DB8"/>
    <w:rsid w:val="005D146A"/>
    <w:rsid w:val="0060160B"/>
    <w:rsid w:val="006D5561"/>
    <w:rsid w:val="00703A11"/>
    <w:rsid w:val="00706147"/>
    <w:rsid w:val="00747113"/>
    <w:rsid w:val="00784880"/>
    <w:rsid w:val="007A3356"/>
    <w:rsid w:val="007C061B"/>
    <w:rsid w:val="007D38A5"/>
    <w:rsid w:val="007D5F62"/>
    <w:rsid w:val="007D7C84"/>
    <w:rsid w:val="00831665"/>
    <w:rsid w:val="008D79E6"/>
    <w:rsid w:val="00932EAE"/>
    <w:rsid w:val="00A16585"/>
    <w:rsid w:val="00A65FC3"/>
    <w:rsid w:val="00A803B1"/>
    <w:rsid w:val="00A85F45"/>
    <w:rsid w:val="00B329B6"/>
    <w:rsid w:val="00B32DC5"/>
    <w:rsid w:val="00B91479"/>
    <w:rsid w:val="00BB12DD"/>
    <w:rsid w:val="00BB556A"/>
    <w:rsid w:val="00C04416"/>
    <w:rsid w:val="00C23BE8"/>
    <w:rsid w:val="00CA6E04"/>
    <w:rsid w:val="00CF567F"/>
    <w:rsid w:val="00D36015"/>
    <w:rsid w:val="00D467F1"/>
    <w:rsid w:val="00DB0D9B"/>
    <w:rsid w:val="00DC200F"/>
    <w:rsid w:val="00DE0959"/>
    <w:rsid w:val="00E02CF6"/>
    <w:rsid w:val="00E46209"/>
    <w:rsid w:val="00E537F2"/>
    <w:rsid w:val="00E6052D"/>
    <w:rsid w:val="00E64EB8"/>
    <w:rsid w:val="00ED1585"/>
    <w:rsid w:val="00EE47CB"/>
    <w:rsid w:val="00FA6DBB"/>
    <w:rsid w:val="00FE77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80B2"/>
  <w15:chartTrackingRefBased/>
  <w15:docId w15:val="{A10101A6-6ED6-4C70-AD2B-61F75D7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C2"/>
    <w:rPr>
      <w:kern w:val="0"/>
      <w14:ligatures w14:val="none"/>
    </w:rPr>
  </w:style>
  <w:style w:type="paragraph" w:styleId="Heading1">
    <w:name w:val="heading 1"/>
    <w:basedOn w:val="Normal"/>
    <w:next w:val="Normal"/>
    <w:link w:val="Heading1Char"/>
    <w:uiPriority w:val="9"/>
    <w:qFormat/>
    <w:rsid w:val="003E1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3C2"/>
    <w:rPr>
      <w:rFonts w:eastAsiaTheme="majorEastAsia" w:cstheme="majorBidi"/>
      <w:color w:val="272727" w:themeColor="text1" w:themeTint="D8"/>
    </w:rPr>
  </w:style>
  <w:style w:type="paragraph" w:styleId="Title">
    <w:name w:val="Title"/>
    <w:basedOn w:val="Normal"/>
    <w:next w:val="Normal"/>
    <w:link w:val="TitleChar"/>
    <w:uiPriority w:val="10"/>
    <w:qFormat/>
    <w:rsid w:val="003E1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3C2"/>
    <w:pPr>
      <w:spacing w:before="160"/>
      <w:jc w:val="center"/>
    </w:pPr>
    <w:rPr>
      <w:i/>
      <w:iCs/>
      <w:color w:val="404040" w:themeColor="text1" w:themeTint="BF"/>
    </w:rPr>
  </w:style>
  <w:style w:type="character" w:customStyle="1" w:styleId="QuoteChar">
    <w:name w:val="Quote Char"/>
    <w:basedOn w:val="DefaultParagraphFont"/>
    <w:link w:val="Quote"/>
    <w:uiPriority w:val="29"/>
    <w:rsid w:val="003E13C2"/>
    <w:rPr>
      <w:i/>
      <w:iCs/>
      <w:color w:val="404040" w:themeColor="text1" w:themeTint="BF"/>
    </w:rPr>
  </w:style>
  <w:style w:type="paragraph" w:styleId="ListParagraph">
    <w:name w:val="List Paragraph"/>
    <w:basedOn w:val="Normal"/>
    <w:uiPriority w:val="34"/>
    <w:qFormat/>
    <w:rsid w:val="003E13C2"/>
    <w:pPr>
      <w:ind w:left="720"/>
      <w:contextualSpacing/>
    </w:pPr>
  </w:style>
  <w:style w:type="character" w:styleId="IntenseEmphasis">
    <w:name w:val="Intense Emphasis"/>
    <w:basedOn w:val="DefaultParagraphFont"/>
    <w:uiPriority w:val="21"/>
    <w:qFormat/>
    <w:rsid w:val="003E13C2"/>
    <w:rPr>
      <w:i/>
      <w:iCs/>
      <w:color w:val="0F4761" w:themeColor="accent1" w:themeShade="BF"/>
    </w:rPr>
  </w:style>
  <w:style w:type="paragraph" w:styleId="IntenseQuote">
    <w:name w:val="Intense Quote"/>
    <w:basedOn w:val="Normal"/>
    <w:next w:val="Normal"/>
    <w:link w:val="IntenseQuoteChar"/>
    <w:uiPriority w:val="30"/>
    <w:qFormat/>
    <w:rsid w:val="003E1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3C2"/>
    <w:rPr>
      <w:i/>
      <w:iCs/>
      <w:color w:val="0F4761" w:themeColor="accent1" w:themeShade="BF"/>
    </w:rPr>
  </w:style>
  <w:style w:type="character" w:styleId="IntenseReference">
    <w:name w:val="Intense Reference"/>
    <w:basedOn w:val="DefaultParagraphFont"/>
    <w:uiPriority w:val="32"/>
    <w:qFormat/>
    <w:rsid w:val="003E13C2"/>
    <w:rPr>
      <w:b/>
      <w:bCs/>
      <w:smallCaps/>
      <w:color w:val="0F4761" w:themeColor="accent1" w:themeShade="BF"/>
      <w:spacing w:val="5"/>
    </w:rPr>
  </w:style>
  <w:style w:type="paragraph" w:customStyle="1" w:styleId="HD2">
    <w:name w:val="HD2"/>
    <w:basedOn w:val="Normal"/>
    <w:autoRedefine/>
    <w:rsid w:val="00233A45"/>
    <w:pPr>
      <w:numPr>
        <w:ilvl w:val="1"/>
        <w:numId w:val="1"/>
      </w:numPr>
      <w:spacing w:before="120" w:after="0" w:line="240" w:lineRule="auto"/>
      <w:ind w:left="567" w:hanging="567"/>
      <w:jc w:val="both"/>
      <w:outlineLvl w:val="1"/>
    </w:pPr>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3E13C2"/>
    <w:rPr>
      <w:color w:val="467886" w:themeColor="hyperlink"/>
      <w:u w:val="single"/>
    </w:rPr>
  </w:style>
  <w:style w:type="paragraph" w:styleId="Footer">
    <w:name w:val="footer"/>
    <w:basedOn w:val="Normal"/>
    <w:link w:val="FooterChar"/>
    <w:uiPriority w:val="99"/>
    <w:unhideWhenUsed/>
    <w:rsid w:val="003E1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13C2"/>
    <w:rPr>
      <w:kern w:val="0"/>
      <w14:ligatures w14:val="none"/>
    </w:rPr>
  </w:style>
  <w:style w:type="paragraph" w:styleId="Header">
    <w:name w:val="header"/>
    <w:basedOn w:val="Normal"/>
    <w:link w:val="HeaderChar"/>
    <w:uiPriority w:val="99"/>
    <w:semiHidden/>
    <w:unhideWhenUsed/>
    <w:rsid w:val="00E537F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537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igla@r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8734d2db80d3657f35f2ce52ce16d705">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ae7bac91cc077f5ad250718c7ab69157"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06D3C-F632-4BDD-B5AF-0DB79C845330}">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2.xml><?xml version="1.0" encoding="utf-8"?>
<ds:datastoreItem xmlns:ds="http://schemas.openxmlformats.org/officeDocument/2006/customXml" ds:itemID="{D1EE13B1-EBC7-431B-8290-2F8BB900F225}"/>
</file>

<file path=customXml/itemProps3.xml><?xml version="1.0" encoding="utf-8"?>
<ds:datastoreItem xmlns:ds="http://schemas.openxmlformats.org/officeDocument/2006/customXml" ds:itemID="{1DA02BAD-908D-4932-B7A0-274A1440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2118</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58</cp:revision>
  <dcterms:created xsi:type="dcterms:W3CDTF">2024-07-05T07:22:00Z</dcterms:created>
  <dcterms:modified xsi:type="dcterms:W3CDTF">2024-07-08T06:49:00Z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MediaServiceImageTags">
    <vt:lpwstr/>
  </property>
</Properties>
</file>