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57C2F" w14:textId="77777777" w:rsidR="00094487" w:rsidRDefault="002141A9" w:rsidP="00094487">
      <w:pPr>
        <w:spacing w:after="40" w:line="276" w:lineRule="auto"/>
        <w:jc w:val="center"/>
        <w:rPr>
          <w:rFonts w:ascii="Times New Roman" w:eastAsia="Times New Roman" w:hAnsi="Times New Roman" w:cs="Times New Roman"/>
          <w:b/>
          <w:sz w:val="24"/>
          <w:szCs w:val="24"/>
        </w:rPr>
      </w:pPr>
      <w:r w:rsidRPr="00BE5646">
        <w:rPr>
          <w:rFonts w:ascii="Times New Roman" w:eastAsia="Times New Roman" w:hAnsi="Times New Roman" w:cs="Times New Roman"/>
          <w:b/>
          <w:sz w:val="24"/>
          <w:szCs w:val="24"/>
        </w:rPr>
        <w:t>HANKELEPING</w:t>
      </w:r>
    </w:p>
    <w:p w14:paraId="0E702768" w14:textId="2DBD1759" w:rsidR="002141A9" w:rsidRPr="00BE5646" w:rsidRDefault="002141A9" w:rsidP="00094487">
      <w:pPr>
        <w:spacing w:after="40" w:line="276" w:lineRule="auto"/>
        <w:jc w:val="center"/>
        <w:rPr>
          <w:rFonts w:ascii="Times New Roman" w:eastAsia="Times New Roman" w:hAnsi="Times New Roman" w:cs="Times New Roman"/>
          <w:b/>
          <w:sz w:val="24"/>
          <w:szCs w:val="24"/>
        </w:rPr>
      </w:pPr>
      <w:r w:rsidRPr="00BE5646">
        <w:rPr>
          <w:rFonts w:ascii="Times New Roman" w:eastAsia="Times New Roman" w:hAnsi="Times New Roman" w:cs="Times New Roman"/>
          <w:b/>
          <w:sz w:val="24"/>
          <w:szCs w:val="24"/>
        </w:rPr>
        <w:t xml:space="preserve">nr </w:t>
      </w:r>
      <w:r w:rsidRPr="00CE6BE7">
        <w:rPr>
          <w:rFonts w:ascii="Times New Roman" w:eastAsia="Times New Roman" w:hAnsi="Times New Roman" w:cs="Times New Roman"/>
          <w:b/>
          <w:sz w:val="24"/>
          <w:szCs w:val="24"/>
          <w:highlight w:val="lightGray"/>
        </w:rPr>
        <w:t>……………..</w:t>
      </w:r>
    </w:p>
    <w:p w14:paraId="7FA467E4" w14:textId="77777777" w:rsidR="002141A9" w:rsidRPr="00BE5646" w:rsidRDefault="002141A9" w:rsidP="002141A9">
      <w:pPr>
        <w:widowControl w:val="0"/>
        <w:spacing w:after="0" w:line="240" w:lineRule="auto"/>
        <w:ind w:left="101" w:right="146"/>
        <w:jc w:val="right"/>
        <w:rPr>
          <w:rFonts w:ascii="Times New Roman" w:eastAsia="Calibri" w:hAnsi="Times New Roman" w:cs="Times New Roman"/>
          <w:spacing w:val="-15"/>
          <w:sz w:val="24"/>
          <w:szCs w:val="24"/>
        </w:rPr>
      </w:pPr>
      <w:r w:rsidRPr="00BE5646">
        <w:rPr>
          <w:rFonts w:ascii="Times New Roman" w:eastAsia="Calibri" w:hAnsi="Times New Roman" w:cs="Times New Roman"/>
          <w:spacing w:val="-15"/>
          <w:sz w:val="24"/>
          <w:szCs w:val="24"/>
        </w:rPr>
        <w:t>/kuupäev vastavalt digitaal-</w:t>
      </w:r>
    </w:p>
    <w:p w14:paraId="61328EFC" w14:textId="77777777" w:rsidR="002141A9" w:rsidRPr="00BE5646" w:rsidRDefault="002141A9" w:rsidP="002141A9">
      <w:pPr>
        <w:widowControl w:val="0"/>
        <w:spacing w:after="0" w:line="240" w:lineRule="auto"/>
        <w:ind w:left="101" w:right="146"/>
        <w:jc w:val="right"/>
        <w:rPr>
          <w:rFonts w:ascii="Times New Roman" w:eastAsia="Calibri" w:hAnsi="Times New Roman" w:cs="Times New Roman"/>
          <w:spacing w:val="-15"/>
          <w:sz w:val="24"/>
          <w:szCs w:val="24"/>
        </w:rPr>
      </w:pPr>
      <w:r w:rsidRPr="00BE5646">
        <w:rPr>
          <w:rFonts w:ascii="Times New Roman" w:eastAsia="Calibri" w:hAnsi="Times New Roman" w:cs="Times New Roman"/>
          <w:spacing w:val="-15"/>
          <w:sz w:val="24"/>
          <w:szCs w:val="24"/>
        </w:rPr>
        <w:t>allkirjastamise kuupäevale/</w:t>
      </w:r>
    </w:p>
    <w:p w14:paraId="6BA44ECF" w14:textId="77777777" w:rsidR="002141A9" w:rsidRPr="00BE5646" w:rsidRDefault="002141A9" w:rsidP="002141A9">
      <w:pPr>
        <w:widowControl w:val="0"/>
        <w:spacing w:after="0" w:line="240" w:lineRule="auto"/>
        <w:ind w:left="101" w:right="146"/>
        <w:jc w:val="right"/>
        <w:rPr>
          <w:rFonts w:ascii="Times New Roman" w:eastAsia="Calibri" w:hAnsi="Times New Roman" w:cs="Times New Roman"/>
          <w:spacing w:val="-15"/>
          <w:sz w:val="24"/>
          <w:szCs w:val="24"/>
        </w:rPr>
      </w:pPr>
    </w:p>
    <w:p w14:paraId="19703F4E" w14:textId="2D0D8092" w:rsidR="002141A9" w:rsidRPr="00BE5646" w:rsidRDefault="002141A9" w:rsidP="002141A9">
      <w:pPr>
        <w:widowControl w:val="0"/>
        <w:spacing w:after="0" w:line="240" w:lineRule="auto"/>
        <w:ind w:left="101" w:right="146"/>
        <w:jc w:val="both"/>
        <w:rPr>
          <w:rFonts w:ascii="Times New Roman" w:eastAsia="Calibri" w:hAnsi="Times New Roman" w:cs="Times New Roman"/>
          <w:sz w:val="24"/>
          <w:szCs w:val="24"/>
        </w:rPr>
      </w:pPr>
      <w:r>
        <w:rPr>
          <w:rFonts w:ascii="Times New Roman" w:eastAsia="Calibri" w:hAnsi="Times New Roman" w:cs="Times New Roman"/>
          <w:b/>
          <w:sz w:val="24"/>
          <w:szCs w:val="24"/>
        </w:rPr>
        <w:t>Aktsiaselts Rakvere Haigla</w:t>
      </w:r>
      <w:r w:rsidRPr="00BE5646">
        <w:rPr>
          <w:rFonts w:ascii="Times New Roman" w:eastAsia="Calibri" w:hAnsi="Times New Roman" w:cs="Times New Roman"/>
          <w:sz w:val="24"/>
          <w:szCs w:val="24"/>
        </w:rPr>
        <w:t>,</w:t>
      </w:r>
      <w:r w:rsidRPr="00BE5646">
        <w:rPr>
          <w:rFonts w:ascii="Times New Roman" w:eastAsia="Calibri" w:hAnsi="Times New Roman" w:cs="Times New Roman"/>
          <w:b/>
          <w:sz w:val="24"/>
          <w:szCs w:val="24"/>
        </w:rPr>
        <w:t xml:space="preserve"> </w:t>
      </w:r>
      <w:r w:rsidRPr="00BE5646">
        <w:rPr>
          <w:rFonts w:ascii="Times New Roman" w:eastAsia="Calibri" w:hAnsi="Times New Roman" w:cs="Times New Roman"/>
          <w:sz w:val="24"/>
          <w:szCs w:val="24"/>
        </w:rPr>
        <w:t xml:space="preserve">registrikood </w:t>
      </w:r>
      <w:r w:rsidRPr="00EA5311">
        <w:rPr>
          <w:rFonts w:ascii="Times New Roman" w:eastAsia="Calibri" w:hAnsi="Times New Roman" w:cs="Times New Roman"/>
          <w:sz w:val="24"/>
          <w:szCs w:val="24"/>
        </w:rPr>
        <w:t>10856624</w:t>
      </w:r>
      <w:r w:rsidRPr="00BE5646">
        <w:rPr>
          <w:rFonts w:ascii="Times New Roman" w:eastAsia="Calibri" w:hAnsi="Times New Roman" w:cs="Times New Roman"/>
          <w:sz w:val="24"/>
          <w:szCs w:val="24"/>
        </w:rPr>
        <w:t xml:space="preserve">, asukohaga </w:t>
      </w:r>
      <w:r>
        <w:rPr>
          <w:rFonts w:ascii="Times New Roman" w:eastAsia="Calibri" w:hAnsi="Times New Roman" w:cs="Times New Roman"/>
          <w:sz w:val="24"/>
          <w:szCs w:val="24"/>
        </w:rPr>
        <w:t>Lõuna põik 1, Rakvere</w:t>
      </w:r>
      <w:r w:rsidRPr="00BE5646">
        <w:rPr>
          <w:rFonts w:ascii="Times New Roman" w:eastAsia="Calibri" w:hAnsi="Times New Roman" w:cs="Times New Roman"/>
          <w:sz w:val="24"/>
          <w:szCs w:val="24"/>
        </w:rPr>
        <w:t>, edaspidi nimetatud “</w:t>
      </w:r>
      <w:r>
        <w:rPr>
          <w:rFonts w:ascii="Times New Roman" w:eastAsia="Calibri" w:hAnsi="Times New Roman" w:cs="Times New Roman"/>
          <w:sz w:val="24"/>
          <w:szCs w:val="24"/>
        </w:rPr>
        <w:t>Ostja</w:t>
      </w:r>
      <w:r w:rsidRPr="00BE5646">
        <w:rPr>
          <w:rFonts w:ascii="Times New Roman" w:eastAsia="Calibri" w:hAnsi="Times New Roman" w:cs="Times New Roman"/>
          <w:sz w:val="24"/>
          <w:szCs w:val="24"/>
        </w:rPr>
        <w:t xml:space="preserve">”, </w:t>
      </w:r>
      <w:r>
        <w:rPr>
          <w:rFonts w:ascii="Times New Roman" w:eastAsia="Calibri" w:hAnsi="Times New Roman" w:cs="Times New Roman"/>
          <w:sz w:val="24"/>
          <w:szCs w:val="24"/>
        </w:rPr>
        <w:t>mi</w:t>
      </w:r>
      <w:r w:rsidRPr="00BE5646">
        <w:rPr>
          <w:rFonts w:ascii="Times New Roman" w:eastAsia="Calibri" w:hAnsi="Times New Roman" w:cs="Times New Roman"/>
          <w:sz w:val="24"/>
          <w:szCs w:val="24"/>
        </w:rPr>
        <w:t xml:space="preserve">da esindab põhikirja alusel </w:t>
      </w:r>
      <w:r>
        <w:rPr>
          <w:rFonts w:ascii="Times New Roman" w:eastAsia="Calibri" w:hAnsi="Times New Roman" w:cs="Times New Roman"/>
          <w:sz w:val="24"/>
          <w:szCs w:val="24"/>
        </w:rPr>
        <w:t>juhatuse esimees Ain Suurkaev,</w:t>
      </w:r>
      <w:r w:rsidRPr="00BE5646">
        <w:rPr>
          <w:rFonts w:ascii="Times New Roman" w:eastAsia="Calibri" w:hAnsi="Times New Roman" w:cs="Times New Roman"/>
          <w:sz w:val="24"/>
          <w:szCs w:val="24"/>
        </w:rPr>
        <w:t xml:space="preserve"> ühelt poolt</w:t>
      </w:r>
    </w:p>
    <w:p w14:paraId="02396097" w14:textId="77777777" w:rsidR="002141A9" w:rsidRPr="00BE5646" w:rsidRDefault="002141A9" w:rsidP="002141A9">
      <w:pPr>
        <w:widowControl w:val="0"/>
        <w:spacing w:after="0" w:line="240" w:lineRule="auto"/>
        <w:ind w:left="101" w:right="146"/>
        <w:jc w:val="both"/>
        <w:rPr>
          <w:rFonts w:ascii="Times New Roman" w:eastAsia="Calibri" w:hAnsi="Times New Roman" w:cs="Times New Roman"/>
          <w:sz w:val="24"/>
          <w:szCs w:val="24"/>
        </w:rPr>
      </w:pPr>
      <w:r w:rsidRPr="00BE5646">
        <w:rPr>
          <w:rFonts w:ascii="Times New Roman" w:eastAsia="Calibri" w:hAnsi="Times New Roman" w:cs="Times New Roman"/>
          <w:sz w:val="24"/>
          <w:szCs w:val="24"/>
        </w:rPr>
        <w:t>ja</w:t>
      </w:r>
    </w:p>
    <w:p w14:paraId="6E3B3EBE" w14:textId="7E8BFE01" w:rsidR="002141A9" w:rsidRDefault="002141A9" w:rsidP="002141A9">
      <w:pPr>
        <w:widowControl w:val="0"/>
        <w:spacing w:after="0" w:line="240" w:lineRule="auto"/>
        <w:ind w:left="101" w:right="146"/>
        <w:jc w:val="both"/>
        <w:rPr>
          <w:rFonts w:ascii="Times New Roman" w:eastAsia="Calibri" w:hAnsi="Times New Roman" w:cs="Times New Roman"/>
          <w:sz w:val="24"/>
          <w:szCs w:val="24"/>
        </w:rPr>
      </w:pPr>
      <w:r w:rsidRPr="00CE6BE7">
        <w:rPr>
          <w:rFonts w:ascii="Times New Roman" w:eastAsia="Calibri" w:hAnsi="Times New Roman" w:cs="Times New Roman"/>
          <w:b/>
          <w:sz w:val="24"/>
          <w:szCs w:val="24"/>
          <w:highlight w:val="lightGray"/>
        </w:rPr>
        <w:t>……………</w:t>
      </w:r>
      <w:r w:rsidRPr="00BE5646">
        <w:rPr>
          <w:rFonts w:ascii="Times New Roman" w:eastAsia="Calibri" w:hAnsi="Times New Roman" w:cs="Times New Roman"/>
          <w:sz w:val="24"/>
          <w:szCs w:val="24"/>
        </w:rPr>
        <w:t>, reg</w:t>
      </w:r>
      <w:r>
        <w:rPr>
          <w:rFonts w:ascii="Times New Roman" w:eastAsia="Calibri" w:hAnsi="Times New Roman" w:cs="Times New Roman"/>
          <w:sz w:val="24"/>
          <w:szCs w:val="24"/>
        </w:rPr>
        <w:t>istrikood</w:t>
      </w:r>
      <w:r w:rsidRPr="00BE5646">
        <w:rPr>
          <w:rFonts w:ascii="Times New Roman" w:eastAsia="Calibri" w:hAnsi="Times New Roman" w:cs="Times New Roman"/>
          <w:sz w:val="24"/>
          <w:szCs w:val="24"/>
        </w:rPr>
        <w:t xml:space="preserve"> </w:t>
      </w:r>
      <w:r w:rsidRPr="00CE6BE7">
        <w:rPr>
          <w:rFonts w:ascii="Times New Roman" w:eastAsia="Calibri" w:hAnsi="Times New Roman" w:cs="Times New Roman"/>
          <w:sz w:val="24"/>
          <w:szCs w:val="24"/>
          <w:highlight w:val="lightGray"/>
          <w:lang w:val="en-US"/>
        </w:rPr>
        <w:t>……….</w:t>
      </w:r>
      <w:r w:rsidRPr="00BE5646">
        <w:rPr>
          <w:rFonts w:ascii="Times New Roman" w:eastAsia="Calibri" w:hAnsi="Times New Roman" w:cs="Times New Roman"/>
          <w:sz w:val="24"/>
          <w:szCs w:val="24"/>
        </w:rPr>
        <w:t xml:space="preserve">, asukohaga </w:t>
      </w:r>
      <w:r w:rsidRPr="00CE6BE7">
        <w:rPr>
          <w:rFonts w:ascii="Times New Roman" w:eastAsia="Calibri" w:hAnsi="Times New Roman" w:cs="Times New Roman"/>
          <w:sz w:val="24"/>
          <w:szCs w:val="24"/>
          <w:highlight w:val="lightGray"/>
        </w:rPr>
        <w:t>….…..</w:t>
      </w:r>
      <w:r w:rsidRPr="00BE5646">
        <w:rPr>
          <w:rFonts w:ascii="Times New Roman" w:eastAsia="Calibri" w:hAnsi="Times New Roman" w:cs="Times New Roman"/>
          <w:sz w:val="24"/>
          <w:szCs w:val="24"/>
        </w:rPr>
        <w:t>, edaspidi nimetatud “</w:t>
      </w:r>
      <w:r>
        <w:rPr>
          <w:rFonts w:ascii="Times New Roman" w:eastAsia="Calibri" w:hAnsi="Times New Roman" w:cs="Times New Roman"/>
          <w:sz w:val="24"/>
          <w:szCs w:val="24"/>
        </w:rPr>
        <w:t>Müüj</w:t>
      </w:r>
      <w:r w:rsidRPr="00BE5646">
        <w:rPr>
          <w:rFonts w:ascii="Times New Roman" w:eastAsia="Calibri" w:hAnsi="Times New Roman" w:cs="Times New Roman"/>
          <w:sz w:val="24"/>
          <w:szCs w:val="24"/>
        </w:rPr>
        <w:t xml:space="preserve">a”, </w:t>
      </w:r>
      <w:r>
        <w:rPr>
          <w:rFonts w:ascii="Times New Roman" w:eastAsia="Calibri" w:hAnsi="Times New Roman" w:cs="Times New Roman"/>
          <w:sz w:val="24"/>
          <w:szCs w:val="24"/>
        </w:rPr>
        <w:t>mi</w:t>
      </w:r>
      <w:r w:rsidRPr="00BE5646">
        <w:rPr>
          <w:rFonts w:ascii="Times New Roman" w:eastAsia="Calibri" w:hAnsi="Times New Roman" w:cs="Times New Roman"/>
          <w:sz w:val="24"/>
          <w:szCs w:val="24"/>
        </w:rPr>
        <w:t xml:space="preserve">da esindab põhikirja alusel </w:t>
      </w:r>
      <w:r w:rsidRPr="00CE6BE7">
        <w:rPr>
          <w:rFonts w:ascii="Times New Roman" w:eastAsia="Calibri" w:hAnsi="Times New Roman" w:cs="Times New Roman"/>
          <w:sz w:val="24"/>
          <w:szCs w:val="24"/>
          <w:highlight w:val="lightGray"/>
        </w:rPr>
        <w:t>………… ……….</w:t>
      </w:r>
      <w:r w:rsidRPr="00BE5646">
        <w:rPr>
          <w:rFonts w:ascii="Times New Roman" w:eastAsia="Calibri" w:hAnsi="Times New Roman" w:cs="Times New Roman"/>
          <w:sz w:val="24"/>
          <w:szCs w:val="24"/>
        </w:rPr>
        <w:t xml:space="preserve"> teiselt poolt, </w:t>
      </w:r>
    </w:p>
    <w:p w14:paraId="71E30093" w14:textId="77777777" w:rsidR="002141A9" w:rsidRDefault="002141A9" w:rsidP="002141A9">
      <w:pPr>
        <w:widowControl w:val="0"/>
        <w:spacing w:after="0" w:line="240" w:lineRule="auto"/>
        <w:ind w:left="101" w:right="146"/>
        <w:jc w:val="both"/>
        <w:rPr>
          <w:rFonts w:ascii="Times New Roman" w:eastAsia="Calibri" w:hAnsi="Times New Roman" w:cs="Times New Roman"/>
          <w:sz w:val="24"/>
          <w:szCs w:val="24"/>
        </w:rPr>
      </w:pPr>
    </w:p>
    <w:p w14:paraId="2C99FA6B" w14:textId="77777777" w:rsidR="002141A9" w:rsidRDefault="002141A9" w:rsidP="008D7119">
      <w:pPr>
        <w:widowControl w:val="0"/>
        <w:spacing w:after="240" w:line="240" w:lineRule="auto"/>
        <w:ind w:left="102" w:right="147"/>
        <w:jc w:val="both"/>
        <w:rPr>
          <w:rFonts w:ascii="Times New Roman" w:eastAsia="Calibri" w:hAnsi="Times New Roman" w:cs="Times New Roman"/>
          <w:spacing w:val="-1"/>
          <w:sz w:val="24"/>
          <w:szCs w:val="24"/>
        </w:rPr>
      </w:pPr>
      <w:r w:rsidRPr="00BE5646">
        <w:rPr>
          <w:rFonts w:ascii="Times New Roman" w:eastAsia="Calibri" w:hAnsi="Times New Roman" w:cs="Times New Roman"/>
          <w:sz w:val="24"/>
          <w:szCs w:val="24"/>
        </w:rPr>
        <w:t xml:space="preserve">koos nimetatud “Lepingupooled” või “Pooled”, sõlmisid käesoleva </w:t>
      </w:r>
      <w:r>
        <w:rPr>
          <w:rFonts w:ascii="Times New Roman" w:eastAsia="Calibri" w:hAnsi="Times New Roman" w:cs="Times New Roman"/>
          <w:sz w:val="24"/>
          <w:szCs w:val="24"/>
        </w:rPr>
        <w:t>hanke</w:t>
      </w:r>
      <w:r w:rsidRPr="00BE5646">
        <w:rPr>
          <w:rFonts w:ascii="Times New Roman" w:eastAsia="Calibri" w:hAnsi="Times New Roman" w:cs="Times New Roman"/>
          <w:sz w:val="24"/>
          <w:szCs w:val="24"/>
        </w:rPr>
        <w:t xml:space="preserve">lepingu </w:t>
      </w:r>
      <w:r>
        <w:rPr>
          <w:rFonts w:ascii="Times New Roman" w:eastAsia="Calibri" w:hAnsi="Times New Roman" w:cs="Times New Roman"/>
          <w:sz w:val="24"/>
          <w:szCs w:val="24"/>
        </w:rPr>
        <w:t xml:space="preserve">(edaspidi „Leping“) </w:t>
      </w:r>
      <w:r w:rsidRPr="00BE5646">
        <w:rPr>
          <w:rFonts w:ascii="Times New Roman" w:eastAsia="Calibri" w:hAnsi="Times New Roman" w:cs="Times New Roman"/>
          <w:sz w:val="24"/>
          <w:szCs w:val="24"/>
        </w:rPr>
        <w:t>alljärgnevas</w:t>
      </w:r>
      <w:r w:rsidRPr="00BE5646">
        <w:rPr>
          <w:rFonts w:ascii="Times New Roman" w:eastAsia="Calibri" w:hAnsi="Times New Roman" w:cs="Times New Roman"/>
          <w:spacing w:val="-1"/>
          <w:sz w:val="24"/>
          <w:szCs w:val="24"/>
        </w:rPr>
        <w:t>:</w:t>
      </w:r>
    </w:p>
    <w:p w14:paraId="75A107AF" w14:textId="77777777" w:rsidR="002141A9" w:rsidRPr="00E61D20" w:rsidRDefault="002141A9" w:rsidP="002141A9">
      <w:pPr>
        <w:numPr>
          <w:ilvl w:val="0"/>
          <w:numId w:val="1"/>
        </w:numPr>
        <w:spacing w:before="120" w:after="0" w:line="240" w:lineRule="auto"/>
        <w:ind w:left="426" w:hanging="426"/>
        <w:jc w:val="both"/>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Üldsätted</w:t>
      </w:r>
    </w:p>
    <w:p w14:paraId="3DB0BFD5" w14:textId="464FA138" w:rsidR="002141A9" w:rsidRPr="00E61D20" w:rsidRDefault="002141A9" w:rsidP="00FB44A0">
      <w:pPr>
        <w:pStyle w:val="HD2"/>
      </w:pPr>
      <w:r w:rsidRPr="00E61D20">
        <w:t xml:space="preserve">Pooled </w:t>
      </w:r>
      <w:r w:rsidRPr="00EA5311">
        <w:t xml:space="preserve">lähtuvad Lepingu sõlmimisel Eesti Vabariigi õigusaktidest ning </w:t>
      </w:r>
      <w:r w:rsidRPr="00D54682">
        <w:rPr>
          <w:b/>
          <w:bCs/>
          <w:lang w:val="et-EE"/>
        </w:rPr>
        <w:t>väikehanke</w:t>
      </w:r>
      <w:r w:rsidRPr="00EA5311">
        <w:t xml:space="preserve"> </w:t>
      </w:r>
      <w:r w:rsidRPr="0029123A">
        <w:rPr>
          <w:b/>
          <w:bCs/>
          <w:lang w:val="et-EE"/>
        </w:rPr>
        <w:t>nimetusega</w:t>
      </w:r>
      <w:r w:rsidRPr="0029123A">
        <w:rPr>
          <w:b/>
          <w:bCs/>
        </w:rPr>
        <w:t xml:space="preserve"> „</w:t>
      </w:r>
      <w:r w:rsidRPr="00B567D0">
        <w:rPr>
          <w:b/>
          <w:bCs/>
          <w:lang w:val="et-EE"/>
        </w:rPr>
        <w:t>Automatiseeritud desinfitseerimise seade saastunud ruumidele</w:t>
      </w:r>
      <w:r w:rsidRPr="00B567D0">
        <w:rPr>
          <w:b/>
          <w:bCs/>
        </w:rPr>
        <w:t>“</w:t>
      </w:r>
      <w:r w:rsidRPr="00EA5311">
        <w:t xml:space="preserve"> (</w:t>
      </w:r>
      <w:r w:rsidRPr="00E61D20">
        <w:t xml:space="preserve">edaspidi </w:t>
      </w:r>
      <w:r>
        <w:rPr>
          <w:lang w:val="et-EE"/>
        </w:rPr>
        <w:t>nimetatud kui</w:t>
      </w:r>
      <w:r w:rsidRPr="00E61D20">
        <w:t xml:space="preserve"> „riigihange“) alusdokumentidest.</w:t>
      </w:r>
    </w:p>
    <w:p w14:paraId="40BC2093" w14:textId="77777777" w:rsidR="002141A9" w:rsidRPr="00E61D20" w:rsidRDefault="002141A9" w:rsidP="00FB44A0">
      <w:pPr>
        <w:numPr>
          <w:ilvl w:val="1"/>
          <w:numId w:val="1"/>
        </w:numPr>
        <w:spacing w:before="120" w:after="0" w:line="240" w:lineRule="auto"/>
        <w:ind w:left="567" w:hanging="425"/>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 xml:space="preserve">Pooled lähtuvad Lepingu sõlmimisel Eesti Vabariigi õigusaktidest ning </w:t>
      </w:r>
      <w:r>
        <w:rPr>
          <w:rFonts w:ascii="Times New Roman" w:eastAsia="Times New Roman" w:hAnsi="Times New Roman" w:cs="Times New Roman"/>
          <w:sz w:val="24"/>
          <w:szCs w:val="24"/>
          <w:lang w:eastAsia="x-none"/>
        </w:rPr>
        <w:t>riigihanke</w:t>
      </w:r>
      <w:r w:rsidRPr="00E61D20">
        <w:rPr>
          <w:rFonts w:ascii="Times New Roman" w:eastAsia="Times New Roman" w:hAnsi="Times New Roman" w:cs="Times New Roman"/>
          <w:sz w:val="24"/>
          <w:szCs w:val="24"/>
          <w:lang w:val="x-none" w:eastAsia="x-none"/>
        </w:rPr>
        <w:t xml:space="preserve"> </w:t>
      </w:r>
      <w:r w:rsidRPr="00E61D20">
        <w:rPr>
          <w:rFonts w:ascii="Times New Roman" w:eastAsia="Times New Roman" w:hAnsi="Times New Roman" w:cs="Times New Roman"/>
          <w:sz w:val="24"/>
          <w:szCs w:val="24"/>
          <w:lang w:val="x-none" w:eastAsia="et-EE"/>
        </w:rPr>
        <w:t>hankedokumentidest ja pakkumusest</w:t>
      </w:r>
      <w:r w:rsidRPr="00E61D20">
        <w:rPr>
          <w:rFonts w:ascii="Times New Roman" w:eastAsia="Times New Roman" w:hAnsi="Times New Roman" w:cs="Times New Roman"/>
          <w:sz w:val="24"/>
          <w:szCs w:val="24"/>
          <w:lang w:val="x-none" w:eastAsia="x-none"/>
        </w:rPr>
        <w:t>.</w:t>
      </w:r>
    </w:p>
    <w:p w14:paraId="0C3A8B36" w14:textId="77777777" w:rsidR="002141A9" w:rsidRPr="00E61D20" w:rsidRDefault="002141A9" w:rsidP="00FB44A0">
      <w:pPr>
        <w:numPr>
          <w:ilvl w:val="1"/>
          <w:numId w:val="1"/>
        </w:numPr>
        <w:spacing w:before="120" w:after="0" w:line="240" w:lineRule="auto"/>
        <w:ind w:left="567" w:hanging="425"/>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 lahutamatuteks osadeks on:</w:t>
      </w:r>
    </w:p>
    <w:p w14:paraId="3CFB47FF" w14:textId="77777777" w:rsidR="002141A9" w:rsidRPr="00E61D20" w:rsidRDefault="002141A9" w:rsidP="00FB44A0">
      <w:pPr>
        <w:numPr>
          <w:ilvl w:val="2"/>
          <w:numId w:val="1"/>
        </w:numPr>
        <w:tabs>
          <w:tab w:val="left" w:pos="1276"/>
        </w:tabs>
        <w:spacing w:after="0" w:line="240" w:lineRule="auto"/>
        <w:ind w:left="1843" w:hanging="1276"/>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Lisa 1 – </w:t>
      </w:r>
      <w:r>
        <w:rPr>
          <w:rFonts w:ascii="Times New Roman" w:eastAsia="Calibri" w:hAnsi="Times New Roman" w:cs="Times New Roman"/>
          <w:sz w:val="24"/>
          <w:szCs w:val="24"/>
          <w:lang w:bidi="en-US"/>
        </w:rPr>
        <w:t>Riigihanke h</w:t>
      </w:r>
      <w:r w:rsidRPr="00E61D20">
        <w:rPr>
          <w:rFonts w:ascii="Times New Roman" w:eastAsia="Calibri" w:hAnsi="Times New Roman" w:cs="Times New Roman"/>
          <w:sz w:val="24"/>
          <w:szCs w:val="24"/>
          <w:lang w:bidi="en-US"/>
        </w:rPr>
        <w:t>anke</w:t>
      </w:r>
      <w:r>
        <w:rPr>
          <w:rFonts w:ascii="Times New Roman" w:eastAsia="Calibri" w:hAnsi="Times New Roman" w:cs="Times New Roman"/>
          <w:sz w:val="24"/>
          <w:szCs w:val="24"/>
          <w:lang w:bidi="en-US"/>
        </w:rPr>
        <w:t>alus</w:t>
      </w:r>
      <w:r w:rsidRPr="00E61D20">
        <w:rPr>
          <w:rFonts w:ascii="Times New Roman" w:eastAsia="Calibri" w:hAnsi="Times New Roman" w:cs="Times New Roman"/>
          <w:sz w:val="24"/>
          <w:szCs w:val="24"/>
          <w:lang w:bidi="en-US"/>
        </w:rPr>
        <w:t>dokumendid koos lisadega (edaspidi ka HD), mis on Pooltel olemas ja mida eraldi ei allkirjastata;</w:t>
      </w:r>
    </w:p>
    <w:p w14:paraId="0F05D004" w14:textId="77777777" w:rsidR="002141A9" w:rsidRPr="00EF4BDB" w:rsidRDefault="002141A9" w:rsidP="00FB44A0">
      <w:pPr>
        <w:numPr>
          <w:ilvl w:val="2"/>
          <w:numId w:val="1"/>
        </w:numPr>
        <w:tabs>
          <w:tab w:val="left" w:pos="1276"/>
        </w:tabs>
        <w:spacing w:after="0" w:line="240" w:lineRule="auto"/>
        <w:ind w:left="1843" w:hanging="1276"/>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Lisa 2 – </w:t>
      </w:r>
      <w:r>
        <w:rPr>
          <w:rFonts w:ascii="Times New Roman" w:eastAsia="Calibri" w:hAnsi="Times New Roman" w:cs="Times New Roman"/>
          <w:sz w:val="24"/>
          <w:szCs w:val="24"/>
          <w:lang w:bidi="en-US"/>
        </w:rPr>
        <w:t>Müüja</w:t>
      </w:r>
      <w:r w:rsidRPr="00E61D20">
        <w:rPr>
          <w:rFonts w:ascii="Times New Roman" w:eastAsia="Calibri" w:hAnsi="Times New Roman" w:cs="Times New Roman"/>
          <w:sz w:val="24"/>
          <w:szCs w:val="24"/>
          <w:lang w:bidi="en-US"/>
        </w:rPr>
        <w:t xml:space="preserve"> poolt esitatud pakkumus koos lisadega (edaspidi </w:t>
      </w:r>
      <w:r w:rsidRPr="00EF4BDB">
        <w:rPr>
          <w:rFonts w:ascii="Times New Roman" w:eastAsia="Calibri" w:hAnsi="Times New Roman" w:cs="Times New Roman"/>
          <w:sz w:val="24"/>
          <w:szCs w:val="24"/>
          <w:lang w:bidi="en-US"/>
        </w:rPr>
        <w:t xml:space="preserve">pakkumus), mis on </w:t>
      </w:r>
      <w:r>
        <w:rPr>
          <w:rFonts w:ascii="Times New Roman" w:eastAsia="Calibri" w:hAnsi="Times New Roman" w:cs="Times New Roman"/>
          <w:sz w:val="24"/>
          <w:szCs w:val="24"/>
          <w:lang w:bidi="en-US"/>
        </w:rPr>
        <w:t>käsitlemise hõlbustamiseks lisatud Lepingu allkirjakonteinerisse</w:t>
      </w:r>
      <w:r w:rsidRPr="00EF4BDB">
        <w:rPr>
          <w:rFonts w:ascii="Times New Roman" w:eastAsia="Calibri" w:hAnsi="Times New Roman" w:cs="Times New Roman"/>
          <w:sz w:val="24"/>
          <w:szCs w:val="24"/>
          <w:lang w:bidi="en-US"/>
        </w:rPr>
        <w:t>;</w:t>
      </w:r>
    </w:p>
    <w:p w14:paraId="6D09DCC7" w14:textId="77777777" w:rsidR="002141A9" w:rsidRPr="00EF4BDB" w:rsidRDefault="002141A9" w:rsidP="00FB44A0">
      <w:pPr>
        <w:numPr>
          <w:ilvl w:val="2"/>
          <w:numId w:val="1"/>
        </w:numPr>
        <w:tabs>
          <w:tab w:val="left" w:pos="1276"/>
        </w:tabs>
        <w:spacing w:after="0" w:line="240" w:lineRule="auto"/>
        <w:ind w:left="1843" w:hanging="1276"/>
        <w:jc w:val="both"/>
        <w:rPr>
          <w:rFonts w:ascii="Times New Roman" w:eastAsia="Calibri" w:hAnsi="Times New Roman" w:cs="Times New Roman"/>
          <w:sz w:val="24"/>
          <w:szCs w:val="24"/>
          <w:lang w:bidi="en-US"/>
        </w:rPr>
      </w:pPr>
      <w:r w:rsidRPr="00EF4BDB">
        <w:rPr>
          <w:rFonts w:ascii="Times New Roman" w:eastAsia="Calibri" w:hAnsi="Times New Roman" w:cs="Times New Roman"/>
          <w:sz w:val="24"/>
          <w:szCs w:val="24"/>
          <w:lang w:bidi="en-US"/>
        </w:rPr>
        <w:t>Lisa 3 – Seadme üleandmise-vastuvõtmise akt</w:t>
      </w:r>
      <w:r>
        <w:rPr>
          <w:rFonts w:ascii="Times New Roman" w:eastAsia="Calibri" w:hAnsi="Times New Roman" w:cs="Times New Roman"/>
          <w:sz w:val="24"/>
          <w:szCs w:val="24"/>
          <w:lang w:bidi="en-US"/>
        </w:rPr>
        <w:t>.</w:t>
      </w:r>
    </w:p>
    <w:p w14:paraId="2E67A865" w14:textId="77777777" w:rsidR="002141A9" w:rsidRPr="00E61D20" w:rsidRDefault="002141A9" w:rsidP="00FB44A0">
      <w:pPr>
        <w:pStyle w:val="HD2"/>
        <w:rPr>
          <w:rFonts w:eastAsia="Calibri"/>
          <w:lang w:bidi="en-US"/>
        </w:rPr>
      </w:pPr>
      <w:r w:rsidRPr="00E61D20">
        <w:rPr>
          <w:rFonts w:eastAsia="Calibri"/>
          <w:lang w:bidi="en-US"/>
        </w:rPr>
        <w:t>Lepingu ja selle lisade omavahelise vastuolu või erineva tõlgendamisvõimaluse korral prevaleerib Leping lisade ees. Lepingu Lisade omavahelise vastuolu või erineva tõlgendamisvõimaluse korral prevaleerib punktis 1.</w:t>
      </w:r>
      <w:r>
        <w:rPr>
          <w:rFonts w:eastAsia="Calibri"/>
          <w:lang w:val="et-EE" w:bidi="en-US"/>
        </w:rPr>
        <w:t>3</w:t>
      </w:r>
      <w:r w:rsidRPr="00E61D20">
        <w:rPr>
          <w:rFonts w:eastAsia="Calibri"/>
          <w:lang w:bidi="en-US"/>
        </w:rPr>
        <w:t xml:space="preserve"> eespool nimetatud lisa tagapool nimetatud lisa ees</w:t>
      </w:r>
      <w:r w:rsidRPr="00E34E85">
        <w:t xml:space="preserve"> </w:t>
      </w:r>
      <w:r w:rsidRPr="00E34E85">
        <w:rPr>
          <w:rFonts w:eastAsia="Calibri"/>
          <w:lang w:bidi="en-US"/>
        </w:rPr>
        <w:t>v.a kui pooled on konkreetse Lepingu lisa osas leppinud kokku teisiti</w:t>
      </w:r>
      <w:r w:rsidRPr="00E61D20">
        <w:rPr>
          <w:rFonts w:eastAsia="Calibri"/>
          <w:lang w:bidi="en-US"/>
        </w:rPr>
        <w:t>.</w:t>
      </w:r>
    </w:p>
    <w:p w14:paraId="59B3E5F5" w14:textId="77777777" w:rsidR="002141A9" w:rsidRPr="00E61D20" w:rsidRDefault="002141A9" w:rsidP="002141A9">
      <w:pPr>
        <w:numPr>
          <w:ilvl w:val="0"/>
          <w:numId w:val="1"/>
        </w:numPr>
        <w:spacing w:before="120" w:after="0" w:line="240" w:lineRule="auto"/>
        <w:ind w:left="426" w:hanging="426"/>
        <w:jc w:val="both"/>
        <w:outlineLvl w:val="0"/>
        <w:rPr>
          <w:rFonts w:ascii="Times New Roman" w:eastAsia="Calibri" w:hAnsi="Times New Roman" w:cs="Times New Roman"/>
          <w:sz w:val="24"/>
          <w:szCs w:val="24"/>
          <w:lang w:bidi="en-US"/>
        </w:rPr>
      </w:pPr>
      <w:bookmarkStart w:id="0" w:name="_Toc510985222"/>
      <w:r w:rsidRPr="00E61D20">
        <w:rPr>
          <w:rFonts w:ascii="Times New Roman" w:eastAsia="Calibri" w:hAnsi="Times New Roman" w:cs="Times New Roman"/>
          <w:b/>
          <w:sz w:val="24"/>
          <w:szCs w:val="24"/>
          <w:lang w:bidi="en-US"/>
        </w:rPr>
        <w:t>Lepingu objekt</w:t>
      </w:r>
      <w:bookmarkEnd w:id="0"/>
      <w:r w:rsidRPr="00E61D20">
        <w:rPr>
          <w:rFonts w:ascii="Times New Roman" w:eastAsia="Calibri" w:hAnsi="Times New Roman" w:cs="Times New Roman"/>
          <w:b/>
          <w:sz w:val="24"/>
          <w:szCs w:val="24"/>
          <w:lang w:bidi="en-US"/>
        </w:rPr>
        <w:t xml:space="preserve"> ja hind</w:t>
      </w:r>
    </w:p>
    <w:p w14:paraId="6589DBD7" w14:textId="0BC7D10D" w:rsidR="002141A9" w:rsidRPr="00E34E85" w:rsidRDefault="002141A9" w:rsidP="00FB44A0">
      <w:pPr>
        <w:pStyle w:val="HD2"/>
        <w:rPr>
          <w:rFonts w:eastAsia="Calibri"/>
          <w:lang w:val="et-EE" w:eastAsia="en-US" w:bidi="en-US"/>
        </w:rPr>
      </w:pPr>
      <w:r w:rsidRPr="00E61D20">
        <w:rPr>
          <w:rFonts w:eastAsia="Calibri"/>
          <w:lang w:bidi="en-US"/>
        </w:rPr>
        <w:t>Lepingu objektiks on Pakkumuses ja HD</w:t>
      </w:r>
      <w:r w:rsidR="00800DB2">
        <w:rPr>
          <w:rFonts w:eastAsia="Calibri"/>
          <w:lang w:bidi="en-US"/>
        </w:rPr>
        <w:t>-</w:t>
      </w:r>
      <w:r>
        <w:rPr>
          <w:rFonts w:eastAsia="Calibri"/>
          <w:lang w:bidi="en-US"/>
        </w:rPr>
        <w:t xml:space="preserve">s </w:t>
      </w:r>
      <w:r w:rsidRPr="00E61D20">
        <w:rPr>
          <w:rFonts w:eastAsia="Calibri"/>
          <w:lang w:bidi="en-US"/>
        </w:rPr>
        <w:t>kirjeldatud</w:t>
      </w:r>
      <w:r>
        <w:rPr>
          <w:rFonts w:eastAsia="Calibri"/>
          <w:lang w:bidi="en-US"/>
        </w:rPr>
        <w:t>,</w:t>
      </w:r>
      <w:r w:rsidRPr="00E61D20">
        <w:rPr>
          <w:rFonts w:eastAsia="Calibri"/>
          <w:lang w:bidi="en-US"/>
        </w:rPr>
        <w:t xml:space="preserve"> </w:t>
      </w:r>
      <w:r>
        <w:rPr>
          <w:rFonts w:eastAsia="Calibri"/>
          <w:lang w:bidi="en-US"/>
        </w:rPr>
        <w:t xml:space="preserve">riigihanke </w:t>
      </w:r>
      <w:r w:rsidRPr="001D614D">
        <w:rPr>
          <w:rFonts w:eastAsia="Calibri"/>
          <w:lang w:bidi="en-US"/>
        </w:rPr>
        <w:t>o</w:t>
      </w:r>
      <w:r>
        <w:rPr>
          <w:rFonts w:eastAsia="Calibri"/>
          <w:lang w:bidi="en-US"/>
        </w:rPr>
        <w:t xml:space="preserve">bjektiks olev, </w:t>
      </w:r>
      <w:r w:rsidRPr="005542B4">
        <w:rPr>
          <w:rFonts w:eastAsia="Calibri"/>
          <w:b/>
          <w:bCs/>
          <w:lang w:bidi="en-US"/>
        </w:rPr>
        <w:t>tootja ……</w:t>
      </w:r>
      <w:r w:rsidR="00800DB2">
        <w:rPr>
          <w:rFonts w:eastAsia="Calibri"/>
          <w:b/>
          <w:bCs/>
          <w:lang w:bidi="en-US"/>
        </w:rPr>
        <w:t>......</w:t>
      </w:r>
      <w:r w:rsidRPr="005542B4">
        <w:rPr>
          <w:rFonts w:eastAsia="Calibri"/>
          <w:b/>
          <w:bCs/>
          <w:lang w:bidi="en-US"/>
        </w:rPr>
        <w:t>.. poolt toodetud seadme ……</w:t>
      </w:r>
      <w:r w:rsidR="00800DB2">
        <w:rPr>
          <w:rFonts w:eastAsia="Calibri"/>
          <w:b/>
          <w:bCs/>
          <w:lang w:bidi="en-US"/>
        </w:rPr>
        <w:t>......</w:t>
      </w:r>
      <w:r w:rsidRPr="005542B4">
        <w:rPr>
          <w:rFonts w:eastAsia="Calibri"/>
          <w:b/>
          <w:bCs/>
          <w:lang w:bidi="en-US"/>
        </w:rPr>
        <w:t>..</w:t>
      </w:r>
      <w:r w:rsidRPr="004D2C96">
        <w:rPr>
          <w:rFonts w:eastAsia="Calibri"/>
          <w:lang w:bidi="en-US"/>
        </w:rPr>
        <w:t xml:space="preserve"> (edaspidi nimetatud </w:t>
      </w:r>
      <w:r w:rsidR="006C720B">
        <w:rPr>
          <w:rFonts w:eastAsia="Calibri"/>
          <w:lang w:bidi="en-US"/>
        </w:rPr>
        <w:t>s</w:t>
      </w:r>
      <w:r w:rsidRPr="004D2C96">
        <w:rPr>
          <w:rFonts w:eastAsia="Calibri"/>
          <w:lang w:bidi="en-US"/>
        </w:rPr>
        <w:t>eade)</w:t>
      </w:r>
      <w:r>
        <w:rPr>
          <w:rFonts w:eastAsia="Calibri"/>
          <w:lang w:bidi="en-US"/>
        </w:rPr>
        <w:t xml:space="preserve"> </w:t>
      </w:r>
      <w:r w:rsidRPr="005542B4">
        <w:rPr>
          <w:rFonts w:eastAsia="Calibri"/>
          <w:b/>
          <w:bCs/>
          <w:lang w:val="et-EE" w:eastAsia="en-US" w:bidi="en-US"/>
        </w:rPr>
        <w:t xml:space="preserve">ostmine koos </w:t>
      </w:r>
      <w:r w:rsidRPr="00DA75EC">
        <w:rPr>
          <w:rFonts w:eastAsia="Calibri"/>
          <w:b/>
          <w:bCs/>
          <w:lang w:val="et-EE" w:eastAsia="en-US" w:bidi="en-US"/>
        </w:rPr>
        <w:t>lahus</w:t>
      </w:r>
      <w:r w:rsidR="008B0358">
        <w:rPr>
          <w:rFonts w:eastAsia="Calibri"/>
          <w:b/>
          <w:bCs/>
          <w:lang w:val="et-EE" w:eastAsia="en-US" w:bidi="en-US"/>
        </w:rPr>
        <w:t>t</w:t>
      </w:r>
      <w:r w:rsidRPr="00DA75EC">
        <w:rPr>
          <w:rFonts w:eastAsia="Calibri"/>
          <w:b/>
          <w:bCs/>
          <w:lang w:val="et-EE" w:eastAsia="en-US" w:bidi="en-US"/>
        </w:rPr>
        <w:t>e</w:t>
      </w:r>
      <w:r w:rsidR="00DA75EC">
        <w:rPr>
          <w:rFonts w:eastAsia="Calibri"/>
          <w:b/>
          <w:bCs/>
          <w:lang w:val="et-EE" w:eastAsia="en-US" w:bidi="en-US"/>
        </w:rPr>
        <w:t xml:space="preserve"> ja indikaatoritega</w:t>
      </w:r>
      <w:r w:rsidR="008B0358">
        <w:rPr>
          <w:rFonts w:eastAsia="Calibri"/>
          <w:b/>
          <w:bCs/>
          <w:lang w:val="et-EE" w:eastAsia="en-US" w:bidi="en-US"/>
        </w:rPr>
        <w:t xml:space="preserve"> </w:t>
      </w:r>
      <w:r w:rsidR="008B0358" w:rsidRPr="008B0358">
        <w:rPr>
          <w:rFonts w:eastAsia="Calibri"/>
          <w:lang w:val="et-EE" w:eastAsia="en-US" w:bidi="en-US"/>
        </w:rPr>
        <w:t>(edaspidi nimetatud</w:t>
      </w:r>
      <w:r w:rsidR="00800DB2">
        <w:rPr>
          <w:rFonts w:eastAsia="Calibri"/>
          <w:lang w:val="et-EE" w:eastAsia="en-US" w:bidi="en-US"/>
        </w:rPr>
        <w:t xml:space="preserve"> ka</w:t>
      </w:r>
      <w:r w:rsidR="005478B0">
        <w:rPr>
          <w:rFonts w:eastAsia="Calibri"/>
          <w:lang w:val="et-EE" w:eastAsia="en-US" w:bidi="en-US"/>
        </w:rPr>
        <w:t xml:space="preserve"> kui </w:t>
      </w:r>
      <w:r w:rsidR="005478B0" w:rsidRPr="00F53D87">
        <w:rPr>
          <w:rFonts w:eastAsia="Calibri"/>
          <w:lang w:val="et-EE" w:eastAsia="en-US" w:bidi="en-US"/>
        </w:rPr>
        <w:t>kaup/kaubad)</w:t>
      </w:r>
      <w:r w:rsidR="005478B0">
        <w:rPr>
          <w:rFonts w:eastAsia="Calibri"/>
          <w:lang w:val="et-EE" w:eastAsia="en-US" w:bidi="en-US"/>
        </w:rPr>
        <w:t xml:space="preserve"> </w:t>
      </w:r>
      <w:r w:rsidRPr="005542B4">
        <w:rPr>
          <w:rFonts w:eastAsia="Calibri"/>
          <w:b/>
          <w:bCs/>
          <w:lang w:val="et-EE" w:eastAsia="en-US" w:bidi="en-US"/>
        </w:rPr>
        <w:t xml:space="preserve">ning garantiiaegse seadme hooldus- ja remonditeenuse osutamisega </w:t>
      </w:r>
      <w:r w:rsidRPr="00E34E85">
        <w:rPr>
          <w:rFonts w:eastAsia="Calibri"/>
          <w:lang w:val="et-EE" w:eastAsia="en-US" w:bidi="en-US"/>
        </w:rPr>
        <w:t>vastavalt Lepingu Lisa</w:t>
      </w:r>
      <w:r>
        <w:rPr>
          <w:rFonts w:eastAsia="Calibri"/>
          <w:lang w:val="et-EE" w:eastAsia="en-US" w:bidi="en-US"/>
        </w:rPr>
        <w:t>de</w:t>
      </w:r>
      <w:r w:rsidRPr="00E34E85">
        <w:rPr>
          <w:rFonts w:eastAsia="Calibri"/>
          <w:lang w:val="et-EE" w:eastAsia="en-US" w:bidi="en-US"/>
        </w:rPr>
        <w:t xml:space="preserve">s 1 ja 2 sätestatule, </w:t>
      </w:r>
      <w:r>
        <w:rPr>
          <w:rFonts w:eastAsia="Calibri"/>
          <w:lang w:val="et-EE" w:eastAsia="en-US" w:bidi="en-US"/>
        </w:rPr>
        <w:t xml:space="preserve">kusjuures </w:t>
      </w:r>
      <w:r w:rsidR="003C655B">
        <w:rPr>
          <w:rFonts w:eastAsia="Calibri"/>
          <w:lang w:val="et-EE" w:eastAsia="en-US" w:bidi="en-US"/>
        </w:rPr>
        <w:t>kaupade</w:t>
      </w:r>
      <w:r>
        <w:rPr>
          <w:rFonts w:eastAsia="Calibri"/>
          <w:lang w:val="et-EE" w:eastAsia="en-US" w:bidi="en-US"/>
        </w:rPr>
        <w:t xml:space="preserve"> ja hooldusteenuste </w:t>
      </w:r>
      <w:r w:rsidRPr="00E34E85">
        <w:rPr>
          <w:rFonts w:eastAsia="Calibri"/>
          <w:lang w:val="et-EE" w:eastAsia="en-US" w:bidi="en-US"/>
        </w:rPr>
        <w:t xml:space="preserve">nime- ja hinnakiri </w:t>
      </w:r>
      <w:r>
        <w:rPr>
          <w:rFonts w:eastAsia="Calibri"/>
          <w:lang w:val="et-EE" w:eastAsia="en-US" w:bidi="en-US"/>
        </w:rPr>
        <w:t>sisaldub</w:t>
      </w:r>
      <w:r w:rsidRPr="00E34E85">
        <w:rPr>
          <w:rFonts w:eastAsia="Calibri"/>
          <w:lang w:val="et-EE" w:eastAsia="en-US" w:bidi="en-US"/>
        </w:rPr>
        <w:t xml:space="preserve"> Lepingu Lisa</w:t>
      </w:r>
      <w:r>
        <w:rPr>
          <w:rFonts w:eastAsia="Calibri"/>
          <w:lang w:val="et-EE" w:eastAsia="en-US" w:bidi="en-US"/>
        </w:rPr>
        <w:t>s</w:t>
      </w:r>
      <w:r w:rsidRPr="00E34E85">
        <w:rPr>
          <w:rFonts w:eastAsia="Calibri"/>
          <w:lang w:val="et-EE" w:eastAsia="en-US" w:bidi="en-US"/>
        </w:rPr>
        <w:t xml:space="preserve"> 2.</w:t>
      </w:r>
    </w:p>
    <w:p w14:paraId="74C3C043" w14:textId="2C966E3C" w:rsidR="002141A9" w:rsidRDefault="002141A9" w:rsidP="001B6737">
      <w:pPr>
        <w:numPr>
          <w:ilvl w:val="1"/>
          <w:numId w:val="1"/>
        </w:numPr>
        <w:spacing w:before="120" w:after="0" w:line="240" w:lineRule="auto"/>
        <w:ind w:left="567" w:hanging="567"/>
        <w:jc w:val="both"/>
        <w:rPr>
          <w:rFonts w:ascii="Times New Roman" w:eastAsia="Calibri" w:hAnsi="Times New Roman" w:cs="Times New Roman"/>
          <w:sz w:val="24"/>
          <w:szCs w:val="24"/>
          <w:lang w:bidi="en-US"/>
        </w:rPr>
      </w:pPr>
      <w:bookmarkStart w:id="1" w:name="_Ref151623724"/>
      <w:r w:rsidRPr="004D2C96">
        <w:rPr>
          <w:rFonts w:ascii="Times New Roman" w:eastAsia="Calibri" w:hAnsi="Times New Roman" w:cs="Times New Roman"/>
          <w:sz w:val="24"/>
          <w:szCs w:val="24"/>
          <w:lang w:bidi="en-US"/>
        </w:rPr>
        <w:t xml:space="preserve">Lepingu punktis 2.1. nimetatud </w:t>
      </w:r>
      <w:r w:rsidR="006C720B">
        <w:rPr>
          <w:rFonts w:ascii="Times New Roman" w:eastAsia="Calibri" w:hAnsi="Times New Roman" w:cs="Times New Roman"/>
          <w:b/>
          <w:bCs/>
          <w:sz w:val="24"/>
          <w:szCs w:val="24"/>
          <w:lang w:bidi="en-US"/>
        </w:rPr>
        <w:t>s</w:t>
      </w:r>
      <w:r w:rsidRPr="00D30228">
        <w:rPr>
          <w:rFonts w:ascii="Times New Roman" w:eastAsia="Calibri" w:hAnsi="Times New Roman" w:cs="Times New Roman"/>
          <w:b/>
          <w:bCs/>
          <w:sz w:val="24"/>
          <w:szCs w:val="24"/>
          <w:lang w:bidi="en-US"/>
        </w:rPr>
        <w:t>eadme hind</w:t>
      </w:r>
      <w:r w:rsidRPr="004D2C96">
        <w:rPr>
          <w:rFonts w:ascii="Times New Roman" w:eastAsia="Calibri" w:hAnsi="Times New Roman" w:cs="Times New Roman"/>
          <w:sz w:val="24"/>
          <w:szCs w:val="24"/>
          <w:lang w:bidi="en-US"/>
        </w:rPr>
        <w:t xml:space="preserve"> on </w:t>
      </w:r>
      <w:r w:rsidRPr="00D30228">
        <w:rPr>
          <w:rFonts w:ascii="Times New Roman" w:eastAsia="Calibri" w:hAnsi="Times New Roman" w:cs="Times New Roman"/>
          <w:b/>
          <w:bCs/>
          <w:sz w:val="24"/>
          <w:szCs w:val="24"/>
          <w:lang w:bidi="en-US"/>
        </w:rPr>
        <w:t xml:space="preserve">………. </w:t>
      </w:r>
      <w:r w:rsidR="00800DB2" w:rsidRPr="00800DB2">
        <w:rPr>
          <w:rFonts w:ascii="Times New Roman" w:eastAsia="Calibri" w:hAnsi="Times New Roman" w:cs="Times New Roman"/>
          <w:b/>
          <w:bCs/>
          <w:sz w:val="24"/>
          <w:szCs w:val="24"/>
          <w:lang w:bidi="en-US"/>
        </w:rPr>
        <w:t>(........ eu</w:t>
      </w:r>
      <w:r w:rsidRPr="00800DB2">
        <w:rPr>
          <w:rFonts w:ascii="Times New Roman" w:eastAsia="Calibri" w:hAnsi="Times New Roman" w:cs="Times New Roman"/>
          <w:b/>
          <w:bCs/>
          <w:sz w:val="24"/>
          <w:szCs w:val="24"/>
          <w:lang w:bidi="en-US"/>
        </w:rPr>
        <w:t>rot ja</w:t>
      </w:r>
      <w:r w:rsidR="00800DB2" w:rsidRPr="00800DB2">
        <w:rPr>
          <w:rFonts w:ascii="Times New Roman" w:eastAsia="Calibri" w:hAnsi="Times New Roman" w:cs="Times New Roman"/>
          <w:b/>
          <w:bCs/>
          <w:sz w:val="24"/>
          <w:szCs w:val="24"/>
          <w:lang w:bidi="en-US"/>
        </w:rPr>
        <w:t xml:space="preserve"> </w:t>
      </w:r>
      <w:r w:rsidRPr="00800DB2">
        <w:rPr>
          <w:rFonts w:ascii="Times New Roman" w:eastAsia="Calibri" w:hAnsi="Times New Roman" w:cs="Times New Roman"/>
          <w:b/>
          <w:bCs/>
          <w:sz w:val="24"/>
          <w:szCs w:val="24"/>
          <w:lang w:bidi="en-US"/>
        </w:rPr>
        <w:t>...... senti</w:t>
      </w:r>
      <w:r>
        <w:rPr>
          <w:rFonts w:ascii="Times New Roman" w:eastAsia="Calibri" w:hAnsi="Times New Roman" w:cs="Times New Roman"/>
          <w:b/>
          <w:sz w:val="24"/>
          <w:szCs w:val="24"/>
          <w:lang w:bidi="en-US"/>
        </w:rPr>
        <w:t>)</w:t>
      </w:r>
      <w:r w:rsidRPr="00E61D20">
        <w:rPr>
          <w:rFonts w:ascii="Times New Roman" w:eastAsia="Calibri" w:hAnsi="Times New Roman" w:cs="Times New Roman"/>
          <w:b/>
          <w:sz w:val="24"/>
          <w:szCs w:val="24"/>
          <w:lang w:bidi="en-US"/>
        </w:rPr>
        <w:t xml:space="preserve"> euro</w:t>
      </w:r>
      <w:r>
        <w:rPr>
          <w:rFonts w:ascii="Times New Roman" w:eastAsia="Calibri" w:hAnsi="Times New Roman" w:cs="Times New Roman"/>
          <w:b/>
          <w:sz w:val="24"/>
          <w:szCs w:val="24"/>
          <w:lang w:bidi="en-US"/>
        </w:rPr>
        <w:t xml:space="preserve">t, </w:t>
      </w:r>
      <w:r w:rsidRPr="002141A9">
        <w:rPr>
          <w:rFonts w:ascii="Times New Roman" w:eastAsia="Calibri" w:hAnsi="Times New Roman" w:cs="Times New Roman"/>
          <w:bCs/>
          <w:sz w:val="24"/>
          <w:szCs w:val="24"/>
          <w:lang w:bidi="en-US"/>
        </w:rPr>
        <w:t>millisele summale lisandub</w:t>
      </w:r>
      <w:r w:rsidRPr="004D2C96">
        <w:rPr>
          <w:rFonts w:ascii="Times New Roman" w:eastAsia="Calibri" w:hAnsi="Times New Roman" w:cs="Times New Roman"/>
          <w:sz w:val="24"/>
          <w:szCs w:val="24"/>
          <w:lang w:bidi="en-US"/>
        </w:rPr>
        <w:t xml:space="preserve"> õigusaktidest tulenevatel alustel ja korras käibemaks</w:t>
      </w:r>
      <w:r>
        <w:rPr>
          <w:rFonts w:ascii="Times New Roman" w:eastAsia="Calibri" w:hAnsi="Times New Roman" w:cs="Times New Roman"/>
          <w:sz w:val="24"/>
          <w:szCs w:val="24"/>
          <w:lang w:bidi="en-US"/>
        </w:rPr>
        <w:t>.</w:t>
      </w:r>
      <w:bookmarkEnd w:id="1"/>
    </w:p>
    <w:p w14:paraId="14B3BF88" w14:textId="7FAF8F2A" w:rsidR="002141A9" w:rsidRDefault="002141A9" w:rsidP="00FB44A0">
      <w:pPr>
        <w:pStyle w:val="HD2"/>
      </w:pPr>
      <w:r w:rsidRPr="003216A0">
        <w:t xml:space="preserve">Lepingu punktis 2.1 nimetatud </w:t>
      </w:r>
      <w:r w:rsidR="00517E96" w:rsidRPr="003216A0">
        <w:rPr>
          <w:b/>
          <w:bCs/>
        </w:rPr>
        <w:t>lahuse</w:t>
      </w:r>
      <w:r w:rsidRPr="003216A0">
        <w:t xml:space="preserve"> eeldatav kogumaksumus </w:t>
      </w:r>
      <w:r w:rsidR="008D4980" w:rsidRPr="003216A0">
        <w:t>seadme eeldatava kasutusea</w:t>
      </w:r>
      <w:r w:rsidR="003216A0" w:rsidRPr="003216A0">
        <w:t>, s</w:t>
      </w:r>
      <w:r w:rsidRPr="003216A0">
        <w:t xml:space="preserve">.o </w:t>
      </w:r>
      <w:r w:rsidR="00517E96" w:rsidRPr="003216A0">
        <w:t>60</w:t>
      </w:r>
      <w:r w:rsidRPr="003216A0">
        <w:t xml:space="preserve"> kalendrikuu jooksul, arvestatuna seadme üleandmise-vastuvõtmise akti Poolte esindajate poolt allkirjastamise</w:t>
      </w:r>
      <w:r w:rsidRPr="00D30228">
        <w:t xml:space="preserve"> kuupäevast</w:t>
      </w:r>
      <w:r>
        <w:t xml:space="preserve">, on </w:t>
      </w:r>
      <w:r w:rsidRPr="00800DB2">
        <w:rPr>
          <w:b/>
          <w:bCs/>
        </w:rPr>
        <w:t xml:space="preserve">.............. </w:t>
      </w:r>
      <w:r w:rsidRPr="00800DB2">
        <w:t>eurot (......... eurot ja ..</w:t>
      </w:r>
      <w:r w:rsidR="006C720B" w:rsidRPr="00800DB2">
        <w:t>.......</w:t>
      </w:r>
      <w:r w:rsidRPr="00800DB2">
        <w:t>..</w:t>
      </w:r>
      <w:r w:rsidR="00CA6A5A">
        <w:t xml:space="preserve"> </w:t>
      </w:r>
      <w:r w:rsidRPr="00800DB2">
        <w:t>senti).</w:t>
      </w:r>
      <w:r>
        <w:t xml:space="preserve"> Käesolevas punktis kokkulepitud summale lisandub õigusaktidest tulenevatel alustel ja korras käibemaks.</w:t>
      </w:r>
    </w:p>
    <w:p w14:paraId="4B8B8D1A" w14:textId="70B70565" w:rsidR="00517E96" w:rsidRDefault="00517E96" w:rsidP="00517E96">
      <w:pPr>
        <w:pStyle w:val="HD2"/>
      </w:pPr>
      <w:r w:rsidRPr="00A33A1A">
        <w:lastRenderedPageBreak/>
        <w:t xml:space="preserve">Lepingu punktis 2.1 nimetatud </w:t>
      </w:r>
      <w:r w:rsidRPr="00A33A1A">
        <w:rPr>
          <w:b/>
          <w:bCs/>
        </w:rPr>
        <w:t xml:space="preserve">indikaatorite </w:t>
      </w:r>
      <w:r w:rsidR="00FD2788" w:rsidRPr="00FD2788">
        <w:t>eeldatav kogumaksumus seadme eeldatava kasutusea, s.o 60 kalendrikuu jooksul</w:t>
      </w:r>
      <w:r w:rsidRPr="00A33A1A">
        <w:t>, arvestatuna seadme üleandmise-vastuvõtmise akti Poolte esindajate</w:t>
      </w:r>
      <w:r>
        <w:t xml:space="preserve"> poolt</w:t>
      </w:r>
      <w:r w:rsidRPr="00D30228">
        <w:t xml:space="preserve"> allkirjastamise kuupäevast</w:t>
      </w:r>
      <w:r>
        <w:t xml:space="preserve">, on </w:t>
      </w:r>
      <w:r w:rsidRPr="00800DB2">
        <w:rPr>
          <w:b/>
          <w:bCs/>
        </w:rPr>
        <w:t>....... eurot (....... eurot ja ...... senti)</w:t>
      </w:r>
      <w:r>
        <w:t xml:space="preserve">. Käesolevas punktis kokkulepitud summale lisandub õigusaktidest tulenevatel alustel ja korras käibemaks. </w:t>
      </w:r>
    </w:p>
    <w:p w14:paraId="642F7ADE" w14:textId="289C184A" w:rsidR="002141A9" w:rsidRPr="002141A9" w:rsidRDefault="00800DB2" w:rsidP="00FB44A0">
      <w:pPr>
        <w:pStyle w:val="HD2"/>
      </w:pPr>
      <w:r>
        <w:t>Kauba</w:t>
      </w:r>
      <w:r w:rsidR="009138E2" w:rsidRPr="009138E2">
        <w:t xml:space="preserve"> </w:t>
      </w:r>
      <w:r w:rsidR="002141A9" w:rsidRPr="009138E2">
        <w:t>maksimaalsed ühikhinnad</w:t>
      </w:r>
      <w:r w:rsidR="002141A9">
        <w:t xml:space="preserve"> on </w:t>
      </w:r>
      <w:r w:rsidR="002141A9" w:rsidRPr="001B6737">
        <w:t>määratud Lisas 2</w:t>
      </w:r>
      <w:r w:rsidR="002141A9">
        <w:t xml:space="preserve"> ning need kehtivad maksimaalse lubatud ühikhinnana vähemalt </w:t>
      </w:r>
      <w:r w:rsidR="002141A9" w:rsidRPr="00620FED">
        <w:t>24</w:t>
      </w:r>
      <w:r w:rsidR="002141A9">
        <w:t xml:space="preserve"> kalendrikuud arvestatuna seadme esmase üleandmise-vastuvõtmise akti Poolte esindajate poolt allkirjastamise kuupäevast.  Võimaluse korral (nt kampaaniahinnad) kohustub müüja müüma kaupa Ostjale nimetatud maksimaalsetest ühikhindadest soodsama hinnaga.</w:t>
      </w:r>
    </w:p>
    <w:p w14:paraId="79DD94E3" w14:textId="2843CF59" w:rsidR="002141A9" w:rsidRDefault="002141A9" w:rsidP="00FB44A0">
      <w:pPr>
        <w:pStyle w:val="HD2"/>
      </w:pPr>
      <w:r w:rsidRPr="002141A9">
        <w:t>Peale Lepingu punktist 2.</w:t>
      </w:r>
      <w:r w:rsidR="009138E2">
        <w:t>5</w:t>
      </w:r>
      <w:r w:rsidRPr="002141A9">
        <w:t xml:space="preserve">. tuleneva ajaperioodi möödumist on Lisast 2 tulenevate ühikhindade muutmine edaspidi võimalik maksimaalselt ühel korral 365 päevase perioodi kohta, vastavalt hinna muutmisele eelnenud kalendriaasta tarbijahinnaindeksi muutuse võrra. </w:t>
      </w:r>
    </w:p>
    <w:p w14:paraId="43ABBA82" w14:textId="671C37F1" w:rsidR="002141A9" w:rsidRPr="002141A9" w:rsidRDefault="002141A9" w:rsidP="00FB44A0">
      <w:pPr>
        <w:pStyle w:val="HD2"/>
      </w:pPr>
      <w:r w:rsidRPr="002141A9">
        <w:t xml:space="preserve">Hinnamuutust taotlev Pool peab esitama vastavasisulise põhjendatud taotluse teisele Poolele kirjalikult vähemalt </w:t>
      </w:r>
      <w:r>
        <w:t>kaks (2)</w:t>
      </w:r>
      <w:r w:rsidRPr="002141A9">
        <w:t xml:space="preserve"> kuud enne uue hinna kohaldamise alguskuupäeva. </w:t>
      </w:r>
    </w:p>
    <w:p w14:paraId="2E1EEBF0" w14:textId="77777777" w:rsidR="002141A9" w:rsidRDefault="002141A9" w:rsidP="00FB44A0">
      <w:pPr>
        <w:pStyle w:val="HD2"/>
      </w:pPr>
      <w:r>
        <w:t xml:space="preserve">Tarbijahinnaindeksi muutuse aluseks on Statistikaameti kodulehel avaldatud tarbijahinnaindeksi aastase muutuja protsent-näitaja. </w:t>
      </w:r>
      <w:r>
        <w:rPr>
          <w:lang w:val="et-EE"/>
        </w:rPr>
        <w:t xml:space="preserve">Seadme </w:t>
      </w:r>
      <w:r w:rsidRPr="00E61D20">
        <w:t>omand läheb Müüjalt Ostjale üle peale Lepingu p</w:t>
      </w:r>
      <w:r>
        <w:rPr>
          <w:lang w:val="et-EE"/>
        </w:rPr>
        <w:t xml:space="preserve">unktis </w:t>
      </w:r>
      <w:r>
        <w:fldChar w:fldCharType="begin"/>
      </w:r>
      <w:r>
        <w:rPr>
          <w:lang w:val="et-EE"/>
        </w:rPr>
        <w:instrText xml:space="preserve"> REF _Ref151623724 \r \h </w:instrText>
      </w:r>
      <w:r>
        <w:fldChar w:fldCharType="separate"/>
      </w:r>
      <w:r>
        <w:rPr>
          <w:lang w:val="et-EE"/>
        </w:rPr>
        <w:t>2.2</w:t>
      </w:r>
      <w:r>
        <w:fldChar w:fldCharType="end"/>
      </w:r>
      <w:r>
        <w:rPr>
          <w:lang w:val="et-EE"/>
        </w:rPr>
        <w:t xml:space="preserve"> </w:t>
      </w:r>
      <w:r w:rsidRPr="00E61D20">
        <w:t>nimetatud kogumaksumuse täielikku tasumist.</w:t>
      </w:r>
    </w:p>
    <w:p w14:paraId="734E2070" w14:textId="7618729A" w:rsidR="002141A9" w:rsidRDefault="002141A9" w:rsidP="00FB44A0">
      <w:pPr>
        <w:pStyle w:val="HD2"/>
      </w:pPr>
      <w:r w:rsidRPr="006E4CF3">
        <w:t>Müüja insenertehnilised telefoni</w:t>
      </w:r>
      <w:r w:rsidR="002A5B05">
        <w:t>- ja elektronkirjali</w:t>
      </w:r>
      <w:r w:rsidR="00DB6DC1">
        <w:t>sed konsulatsioonid</w:t>
      </w:r>
      <w:r w:rsidRPr="006E4CF3">
        <w:t xml:space="preserve"> on Ostja jaoks Lepinguperioodil, sh peale garantiiaja lõppemist, tasuta. </w:t>
      </w:r>
    </w:p>
    <w:p w14:paraId="173F691E" w14:textId="77777777" w:rsidR="002141A9" w:rsidRPr="006E4CF3" w:rsidRDefault="002141A9" w:rsidP="00FB44A0">
      <w:pPr>
        <w:pStyle w:val="HD2"/>
      </w:pPr>
      <w:r w:rsidRPr="006E4CF3">
        <w:t>Müüja tagab ilma selle eest täiendava tasu küsimise õiguseta seadme kasutusea jooksul seadme ohutu toimimise tagamiseks vajalikest tarkvarauuendustest Ostja viivitamatu teavitamise ning tarkvara uuendamise kooskõlastatult Ostjaga.</w:t>
      </w:r>
    </w:p>
    <w:p w14:paraId="76B06442" w14:textId="6BC2CA5D" w:rsidR="002141A9" w:rsidRPr="00E61D20" w:rsidRDefault="002141A9" w:rsidP="00FB44A0">
      <w:pPr>
        <w:pStyle w:val="HD2"/>
      </w:pPr>
      <w:r w:rsidRPr="00E61D20">
        <w:t>Müüja kinnitab, et Lepingu järgi üleantavale</w:t>
      </w:r>
      <w:r>
        <w:rPr>
          <w:lang w:val="et-EE"/>
        </w:rPr>
        <w:t xml:space="preserve"> </w:t>
      </w:r>
      <w:r w:rsidR="006C720B">
        <w:rPr>
          <w:lang w:val="et-EE"/>
        </w:rPr>
        <w:t>s</w:t>
      </w:r>
      <w:r>
        <w:rPr>
          <w:lang w:val="et-EE"/>
        </w:rPr>
        <w:t xml:space="preserve">eadmele </w:t>
      </w:r>
      <w:r w:rsidRPr="00E61D20">
        <w:t>ei ole kolmandatel isikutel mingeid õigusi ega ka alust selliste õiguste taotlemiseks.</w:t>
      </w:r>
    </w:p>
    <w:p w14:paraId="6803394D" w14:textId="77777777" w:rsidR="002141A9" w:rsidRPr="00E61D20" w:rsidRDefault="002141A9" w:rsidP="00FB44A0">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Maksetingimused</w:t>
      </w:r>
    </w:p>
    <w:p w14:paraId="68B4131D" w14:textId="5FE936BC" w:rsidR="006C720B" w:rsidRPr="006C720B" w:rsidRDefault="006C720B" w:rsidP="00FB44A0">
      <w:pPr>
        <w:pStyle w:val="HD2"/>
        <w:rPr>
          <w:rFonts w:eastAsia="Calibri"/>
        </w:rPr>
      </w:pPr>
      <w:bookmarkStart w:id="2" w:name="_Toc510985223"/>
      <w:r w:rsidRPr="006C720B">
        <w:rPr>
          <w:rFonts w:eastAsia="Calibri"/>
        </w:rPr>
        <w:t xml:space="preserve">Ostja tasub seadme maksumuse </w:t>
      </w:r>
      <w:r w:rsidRPr="001B6737">
        <w:rPr>
          <w:rFonts w:eastAsia="Calibri"/>
        </w:rPr>
        <w:t>14</w:t>
      </w:r>
      <w:r w:rsidRPr="006C720B">
        <w:rPr>
          <w:rFonts w:eastAsia="Calibri"/>
        </w:rPr>
        <w:t xml:space="preserve"> kalendripäeva jooksul arve Ostjale kättetoimetamisest. Arve esitamise eelduseks on riigihanke hanke alusdokumentidest tulenevatel tingimustel ja asukohas Lepingu objektiks oleva seadme Ostjale üleandmine, kasutajakoolitus</w:t>
      </w:r>
      <w:r>
        <w:rPr>
          <w:rFonts w:eastAsia="Calibri"/>
        </w:rPr>
        <w:t>t</w:t>
      </w:r>
      <w:r w:rsidRPr="006C720B">
        <w:rPr>
          <w:rFonts w:eastAsia="Calibri"/>
        </w:rPr>
        <w:t>e teostamine ning sellele järgnevalt seadme üleandmis-vastuvõtuakti allkirjastamine poolte esindajate poolt.</w:t>
      </w:r>
    </w:p>
    <w:p w14:paraId="274D9318" w14:textId="77777777" w:rsidR="002141A9" w:rsidRPr="005A47BE" w:rsidRDefault="002141A9" w:rsidP="00FB44A0">
      <w:pPr>
        <w:pStyle w:val="HD2"/>
        <w:rPr>
          <w:rFonts w:eastAsia="Calibri"/>
        </w:rPr>
      </w:pPr>
      <w:r w:rsidRPr="005A47BE">
        <w:rPr>
          <w:rFonts w:eastAsia="Calibri"/>
        </w:rPr>
        <w:t>Ostja poolt arve tasumise eelduseks on Lepingu objektiks oleva seadme Ostjale üleandmine, kasutajakoolituse teostamine ning sellele järgnevalt seadme üleandmis-vastuvõtuakti allkirjastamine poolte esindajate poolt. Ostja tasub arve 14 kalendripäeva jooksul üleandmise-vastuvõtmise akti Poolte esindajate poolt allkirjastamise kuupäevast.</w:t>
      </w:r>
    </w:p>
    <w:p w14:paraId="2D54ED32" w14:textId="2F6599FF" w:rsidR="002141A9" w:rsidRPr="006E4CF3" w:rsidRDefault="002141A9" w:rsidP="00FB44A0">
      <w:pPr>
        <w:pStyle w:val="HD2"/>
        <w:rPr>
          <w:rFonts w:eastAsia="Calibri"/>
        </w:rPr>
      </w:pPr>
      <w:r w:rsidRPr="006E4CF3">
        <w:rPr>
          <w:rFonts w:eastAsia="Calibri"/>
        </w:rPr>
        <w:t xml:space="preserve">Lepingutingimustele vastavas kvaliteedis </w:t>
      </w:r>
      <w:r w:rsidR="00B567D0">
        <w:rPr>
          <w:rFonts w:eastAsia="Calibri"/>
        </w:rPr>
        <w:t xml:space="preserve">kauba </w:t>
      </w:r>
      <w:r w:rsidRPr="006E4CF3">
        <w:rPr>
          <w:rFonts w:eastAsia="Calibri"/>
        </w:rPr>
        <w:t xml:space="preserve">eest tasub Ostja peale </w:t>
      </w:r>
      <w:r w:rsidR="00B567D0">
        <w:rPr>
          <w:rFonts w:eastAsia="Calibri"/>
        </w:rPr>
        <w:t>kaupade</w:t>
      </w:r>
      <w:r w:rsidRPr="006E4CF3">
        <w:rPr>
          <w:rFonts w:eastAsia="Calibri"/>
        </w:rPr>
        <w:t xml:space="preserve"> tarnet, arve alusel, 14 kalendripäeva jooksul arve Ostjale kättetoimetamise kuupäevast. Arvel tuleb igakordselt ära näidata, milliste saatelehtede (number või mõni muu tunnus) alusel arve esitati.</w:t>
      </w:r>
    </w:p>
    <w:p w14:paraId="2E1C59ED" w14:textId="39FD1635" w:rsidR="002141A9" w:rsidRPr="00071CA4" w:rsidRDefault="002141A9" w:rsidP="00FB44A0">
      <w:pPr>
        <w:pStyle w:val="HD2"/>
        <w:rPr>
          <w:rFonts w:eastAsia="Calibri"/>
        </w:rPr>
      </w:pPr>
      <w:r w:rsidRPr="00071CA4">
        <w:rPr>
          <w:rFonts w:eastAsia="Calibri"/>
        </w:rPr>
        <w:t xml:space="preserve">Hooldus- või remonttööde eest tasumise tähtaeg on vähemalt 14 kalendripäeva alates arve ostjale kättetoimetamisest, kusjuures arve esitamise õigus tekib Müüjale peale </w:t>
      </w:r>
      <w:r w:rsidRPr="00711BA0">
        <w:rPr>
          <w:rFonts w:eastAsia="Calibri"/>
        </w:rPr>
        <w:t xml:space="preserve">Lepingu punktist </w:t>
      </w:r>
      <w:r w:rsidR="00082C11" w:rsidRPr="00711BA0">
        <w:rPr>
          <w:rFonts w:eastAsia="Calibri"/>
        </w:rPr>
        <w:t>4.3.4</w:t>
      </w:r>
      <w:r w:rsidRPr="00711BA0">
        <w:rPr>
          <w:rFonts w:eastAsia="Calibri"/>
        </w:rPr>
        <w:t>. tulenevatele tingimustele ja korras koostatud akti Poolte esindajate poolt allkirjastamist.</w:t>
      </w:r>
    </w:p>
    <w:p w14:paraId="10B2ACDF" w14:textId="77777777" w:rsidR="002141A9" w:rsidRPr="006E4CF3" w:rsidRDefault="002141A9" w:rsidP="00FB44A0">
      <w:pPr>
        <w:pStyle w:val="HD2"/>
        <w:rPr>
          <w:rFonts w:eastAsia="Calibri"/>
        </w:rPr>
      </w:pPr>
      <w:r w:rsidRPr="006E4CF3">
        <w:rPr>
          <w:rFonts w:eastAsia="Calibri"/>
        </w:rPr>
        <w:lastRenderedPageBreak/>
        <w:t>Arve esitatakse e-arvena, arve esitamise ajahetkel ostja arveoperaatoriks oleva teenuse osutaja kaudu. Arvel tuleb igakordselt ära näidata riigihanke viitenumber. Käesoleva lepingu alusel esitatud arvel ei või kajastada mistahes kolmandate, käesoleva lepingu väliste, kokkulepete alusel müüdavaid kaupu või teenuseid.</w:t>
      </w:r>
    </w:p>
    <w:p w14:paraId="319E9D56" w14:textId="77777777" w:rsidR="002141A9" w:rsidRPr="006E4CF3" w:rsidRDefault="002141A9" w:rsidP="00FB44A0">
      <w:pPr>
        <w:pStyle w:val="HD2"/>
        <w:rPr>
          <w:rFonts w:eastAsia="Calibri"/>
          <w:b/>
        </w:rPr>
      </w:pPr>
      <w:r w:rsidRPr="006E4CF3">
        <w:rPr>
          <w:rFonts w:eastAsia="Calibri"/>
        </w:rPr>
        <w:t>Juhul kui müüja näol ei ole tegemist raamatupidamiskohuslasega raamatupidamise seaduse mõistes (s.o Eestis registreeritud era- või avalik-õiguslik juriidiline isik, füüsilisest isikust ettevõtja või Eestis registrisse kantud välismaa äriühingu filiaal), võib müüja esitada arve ostjale elektronkirja eel, .pdf formaadis, aadressil haigla@rh.ee. Käesolevast punktist tuleneva erandi kohaldamise õigus lõppeb kuupäevast mil ostja e-arve operaator liidestatakse PEPPOL süsteemiga, võimaldades müüjal ostjale e-arvete esitamist.</w:t>
      </w:r>
    </w:p>
    <w:p w14:paraId="2D06BA2B" w14:textId="32485F90" w:rsidR="002141A9" w:rsidRPr="00E61D20" w:rsidRDefault="00A71D48" w:rsidP="00FB44A0">
      <w:pPr>
        <w:numPr>
          <w:ilvl w:val="0"/>
          <w:numId w:val="1"/>
        </w:numPr>
        <w:spacing w:before="120" w:after="0" w:line="240" w:lineRule="auto"/>
        <w:ind w:left="567" w:hanging="425"/>
        <w:jc w:val="both"/>
        <w:outlineLvl w:val="0"/>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Seadme</w:t>
      </w:r>
      <w:r w:rsidR="002141A9" w:rsidRPr="00E61D20">
        <w:rPr>
          <w:rFonts w:ascii="Times New Roman" w:eastAsia="Calibri" w:hAnsi="Times New Roman" w:cs="Times New Roman"/>
          <w:b/>
          <w:sz w:val="24"/>
          <w:szCs w:val="24"/>
          <w:lang w:bidi="en-US"/>
        </w:rPr>
        <w:t xml:space="preserve"> üleandmise tingimused</w:t>
      </w:r>
      <w:bookmarkEnd w:id="2"/>
    </w:p>
    <w:p w14:paraId="7620D9DC" w14:textId="61C67959" w:rsidR="002141A9" w:rsidRPr="00E61D20" w:rsidRDefault="002141A9" w:rsidP="00FB44A0">
      <w:pPr>
        <w:pStyle w:val="HD2"/>
      </w:pPr>
      <w:r w:rsidRPr="00E61D20">
        <w:t>Müüja kohustub Le</w:t>
      </w:r>
      <w:r w:rsidRPr="005B31DD">
        <w:t xml:space="preserve">pingu punktis 2.1 nimetatud </w:t>
      </w:r>
      <w:r w:rsidR="001F7B77" w:rsidRPr="005B31DD">
        <w:rPr>
          <w:lang w:val="et-EE"/>
        </w:rPr>
        <w:t>s</w:t>
      </w:r>
      <w:r w:rsidRPr="005B31DD">
        <w:t xml:space="preserve">eadme andma Ostjale üle </w:t>
      </w:r>
      <w:r w:rsidRPr="005B31DD">
        <w:rPr>
          <w:b/>
        </w:rPr>
        <w:t xml:space="preserve">hiljemalt </w:t>
      </w:r>
      <w:r w:rsidRPr="005B31DD">
        <w:rPr>
          <w:b/>
          <w:lang w:val="et-EE"/>
        </w:rPr>
        <w:t>….. kalendripäeva jooksul</w:t>
      </w:r>
      <w:r w:rsidRPr="005B31DD">
        <w:rPr>
          <w:b/>
        </w:rPr>
        <w:t xml:space="preserve"> Lepingu sõlmimisest</w:t>
      </w:r>
      <w:r w:rsidRPr="005B31DD">
        <w:rPr>
          <w:b/>
          <w:lang w:val="et-EE"/>
        </w:rPr>
        <w:t>/……….</w:t>
      </w:r>
      <w:r w:rsidRPr="005B31DD">
        <w:t>,</w:t>
      </w:r>
      <w:r w:rsidRPr="00E61D20">
        <w:t xml:space="preserve"> informeerides eelnevalt Ostjat Lepingu objekti faktilise üleandmise kuupäevast. </w:t>
      </w:r>
      <w:r w:rsidR="00082C11">
        <w:rPr>
          <w:lang w:val="et-EE" w:eastAsia="ar-SA"/>
        </w:rPr>
        <w:t>Se</w:t>
      </w:r>
      <w:r>
        <w:rPr>
          <w:lang w:val="et-EE" w:eastAsia="ar-SA"/>
        </w:rPr>
        <w:t>ade</w:t>
      </w:r>
      <w:r w:rsidRPr="00E61D20">
        <w:rPr>
          <w:lang w:eastAsia="ar-SA"/>
        </w:rPr>
        <w:t xml:space="preserve"> antakse üle koos </w:t>
      </w:r>
      <w:r>
        <w:rPr>
          <w:lang w:val="et-EE" w:eastAsia="ar-SA"/>
        </w:rPr>
        <w:t>hooldus- ja k</w:t>
      </w:r>
      <w:r w:rsidRPr="00E61D20">
        <w:rPr>
          <w:lang w:eastAsia="ar-SA"/>
        </w:rPr>
        <w:t>asutusjuhendi ja muu</w:t>
      </w:r>
      <w:r>
        <w:rPr>
          <w:lang w:val="et-EE" w:eastAsia="ar-SA"/>
        </w:rPr>
        <w:t xml:space="preserve"> riigihanke hanketingimuste kohaselt</w:t>
      </w:r>
      <w:r w:rsidRPr="00E61D20">
        <w:rPr>
          <w:lang w:eastAsia="ar-SA"/>
        </w:rPr>
        <w:t xml:space="preserve"> juurdekuuluva dokumentatsiooniga</w:t>
      </w:r>
      <w:r>
        <w:rPr>
          <w:lang w:val="et-EE" w:eastAsia="ar-SA"/>
        </w:rPr>
        <w:t>.</w:t>
      </w:r>
    </w:p>
    <w:p w14:paraId="6552CFBF" w14:textId="3CE47964" w:rsidR="002141A9" w:rsidRPr="00E61D20" w:rsidRDefault="002141A9" w:rsidP="00FB44A0">
      <w:pPr>
        <w:pStyle w:val="HD2"/>
      </w:pPr>
      <w:r w:rsidRPr="00E61D20">
        <w:rPr>
          <w:lang w:eastAsia="ar-SA"/>
        </w:rPr>
        <w:t xml:space="preserve">Üleandmise all mõeldakse Müüja poolt </w:t>
      </w:r>
      <w:r w:rsidR="001F7B77">
        <w:rPr>
          <w:lang w:val="et-EE" w:eastAsia="ar-SA"/>
        </w:rPr>
        <w:t>s</w:t>
      </w:r>
      <w:r>
        <w:rPr>
          <w:lang w:val="et-EE" w:eastAsia="ar-SA"/>
        </w:rPr>
        <w:t>eadme</w:t>
      </w:r>
      <w:r w:rsidRPr="00E61D20">
        <w:rPr>
          <w:lang w:eastAsia="ar-SA"/>
        </w:rPr>
        <w:t xml:space="preserve"> toimetamist </w:t>
      </w:r>
      <w:r>
        <w:rPr>
          <w:rFonts w:eastAsia="Calibri"/>
          <w:lang w:val="et-EE" w:bidi="en-US"/>
        </w:rPr>
        <w:t>Ostja asukohta</w:t>
      </w:r>
      <w:r w:rsidRPr="00E61D20">
        <w:rPr>
          <w:lang w:eastAsia="ar-SA"/>
        </w:rPr>
        <w:t xml:space="preserve">, </w:t>
      </w:r>
      <w:r w:rsidRPr="00E61D20">
        <w:t xml:space="preserve">seadme paigaldamist </w:t>
      </w:r>
      <w:r>
        <w:rPr>
          <w:lang w:val="et-EE"/>
        </w:rPr>
        <w:t xml:space="preserve">selleks Ostja poolt määratud asukohas </w:t>
      </w:r>
      <w:r w:rsidRPr="00E61D20">
        <w:t xml:space="preserve">ja häälestamist ning kasutajatele kohapeal seadme kasutamisega seotud </w:t>
      </w:r>
      <w:r w:rsidRPr="00E61D20">
        <w:rPr>
          <w:lang w:eastAsia="ar-SA"/>
        </w:rPr>
        <w:t>koolituse läbiviimist.</w:t>
      </w:r>
    </w:p>
    <w:p w14:paraId="34F8B1EC" w14:textId="77777777" w:rsidR="002141A9" w:rsidRPr="00E61D20" w:rsidRDefault="002141A9" w:rsidP="00FB44A0">
      <w:pPr>
        <w:pStyle w:val="HD2"/>
      </w:pPr>
      <w:r w:rsidRPr="00E61D20">
        <w:t>Seadme üleandmise tingimused:</w:t>
      </w:r>
    </w:p>
    <w:p w14:paraId="43CE74EA" w14:textId="28855A5E" w:rsidR="002141A9" w:rsidRPr="00E61D20" w:rsidRDefault="002141A9" w:rsidP="00FB44A0">
      <w:pPr>
        <w:numPr>
          <w:ilvl w:val="2"/>
          <w:numId w:val="1"/>
        </w:numPr>
        <w:spacing w:after="0" w:line="240" w:lineRule="auto"/>
        <w:ind w:left="993" w:hanging="567"/>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enne </w:t>
      </w:r>
      <w:r w:rsidR="001F7B77">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 xml:space="preserve">eadme üleandmist viib </w:t>
      </w:r>
      <w:r>
        <w:rPr>
          <w:rFonts w:ascii="Times New Roman" w:eastAsia="Times New Roman" w:hAnsi="Times New Roman" w:cs="Times New Roman"/>
          <w:sz w:val="24"/>
          <w:szCs w:val="24"/>
          <w:lang w:val="x-none" w:eastAsia="x-none"/>
        </w:rPr>
        <w:t>Müüja</w:t>
      </w:r>
      <w:r w:rsidRPr="00E61D20">
        <w:rPr>
          <w:rFonts w:ascii="Times New Roman" w:eastAsia="Times New Roman" w:hAnsi="Times New Roman" w:cs="Times New Roman"/>
          <w:sz w:val="24"/>
          <w:szCs w:val="24"/>
          <w:lang w:val="x-none" w:eastAsia="x-none"/>
        </w:rPr>
        <w:t xml:space="preserve"> läbi </w:t>
      </w:r>
      <w:r>
        <w:rPr>
          <w:rFonts w:ascii="Times New Roman" w:eastAsia="Times New Roman" w:hAnsi="Times New Roman" w:cs="Times New Roman"/>
          <w:sz w:val="24"/>
          <w:szCs w:val="24"/>
          <w:lang w:val="x-none" w:eastAsia="x-none"/>
        </w:rPr>
        <w:t>Ostja</w:t>
      </w:r>
      <w:r w:rsidRPr="00E61D20">
        <w:rPr>
          <w:rFonts w:ascii="Times New Roman" w:eastAsia="Times New Roman" w:hAnsi="Times New Roman" w:cs="Times New Roman"/>
          <w:sz w:val="24"/>
          <w:szCs w:val="24"/>
          <w:lang w:val="x-none" w:eastAsia="x-none"/>
        </w:rPr>
        <w:t xml:space="preserve"> töötajate koolituse vastavalt </w:t>
      </w:r>
      <w:r>
        <w:rPr>
          <w:rFonts w:ascii="Times New Roman" w:eastAsia="Times New Roman" w:hAnsi="Times New Roman" w:cs="Times New Roman"/>
          <w:sz w:val="24"/>
          <w:szCs w:val="24"/>
          <w:lang w:eastAsia="x-none"/>
        </w:rPr>
        <w:t>riigihanke hankealusdokumentides</w:t>
      </w:r>
      <w:r w:rsidRPr="00E61D20">
        <w:rPr>
          <w:rFonts w:ascii="Times New Roman" w:eastAsia="Times New Roman" w:hAnsi="Times New Roman" w:cs="Times New Roman"/>
          <w:sz w:val="24"/>
          <w:szCs w:val="24"/>
          <w:lang w:val="x-none" w:eastAsia="x-none"/>
        </w:rPr>
        <w:t xml:space="preserve"> ettenähtule</w:t>
      </w:r>
      <w:r w:rsidRPr="00E61D20">
        <w:rPr>
          <w:rFonts w:ascii="Times New Roman" w:eastAsia="Times New Roman" w:hAnsi="Times New Roman" w:cs="Times New Roman"/>
          <w:sz w:val="24"/>
          <w:szCs w:val="24"/>
          <w:lang w:eastAsia="x-none"/>
        </w:rPr>
        <w:t>;</w:t>
      </w:r>
    </w:p>
    <w:p w14:paraId="6268081A" w14:textId="2B79DE30" w:rsidR="002141A9" w:rsidRPr="00E61D20" w:rsidRDefault="002141A9" w:rsidP="00FB44A0">
      <w:pPr>
        <w:numPr>
          <w:ilvl w:val="2"/>
          <w:numId w:val="1"/>
        </w:numPr>
        <w:spacing w:after="0" w:line="240" w:lineRule="auto"/>
        <w:ind w:left="993" w:hanging="567"/>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enne </w:t>
      </w:r>
      <w:r w:rsidR="001F7B77">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eadme</w:t>
      </w:r>
      <w:r w:rsidRPr="00E61D20">
        <w:rPr>
          <w:rFonts w:ascii="Times New Roman" w:eastAsia="Times New Roman" w:hAnsi="Times New Roman" w:cs="Times New Roman"/>
          <w:sz w:val="24"/>
          <w:szCs w:val="24"/>
          <w:lang w:eastAsia="x-none"/>
        </w:rPr>
        <w:t xml:space="preserve"> </w:t>
      </w:r>
      <w:r w:rsidRPr="00E61D20">
        <w:rPr>
          <w:rFonts w:ascii="Times New Roman" w:eastAsia="Times New Roman" w:hAnsi="Times New Roman" w:cs="Times New Roman"/>
          <w:sz w:val="24"/>
          <w:szCs w:val="24"/>
          <w:lang w:val="x-none" w:eastAsia="x-none"/>
        </w:rPr>
        <w:t xml:space="preserve">vastuvõtmist teostatakse </w:t>
      </w:r>
      <w:r>
        <w:rPr>
          <w:rFonts w:ascii="Times New Roman" w:eastAsia="Times New Roman" w:hAnsi="Times New Roman" w:cs="Times New Roman"/>
          <w:sz w:val="24"/>
          <w:szCs w:val="24"/>
          <w:lang w:val="x-none" w:eastAsia="x-none"/>
        </w:rPr>
        <w:t>Ostja</w:t>
      </w:r>
      <w:r w:rsidRPr="00E61D20">
        <w:rPr>
          <w:rFonts w:ascii="Times New Roman" w:eastAsia="Times New Roman" w:hAnsi="Times New Roman" w:cs="Times New Roman"/>
          <w:sz w:val="24"/>
          <w:szCs w:val="24"/>
          <w:lang w:val="x-none" w:eastAsia="x-none"/>
        </w:rPr>
        <w:t xml:space="preserve"> ja </w:t>
      </w:r>
      <w:r>
        <w:rPr>
          <w:rFonts w:ascii="Times New Roman" w:eastAsia="Times New Roman" w:hAnsi="Times New Roman" w:cs="Times New Roman"/>
          <w:sz w:val="24"/>
          <w:szCs w:val="24"/>
          <w:lang w:val="x-none" w:eastAsia="x-none"/>
        </w:rPr>
        <w:t>Müüja</w:t>
      </w:r>
      <w:r w:rsidRPr="00E61D20">
        <w:rPr>
          <w:rFonts w:ascii="Times New Roman" w:eastAsia="Times New Roman" w:hAnsi="Times New Roman" w:cs="Times New Roman"/>
          <w:sz w:val="24"/>
          <w:szCs w:val="24"/>
          <w:lang w:val="x-none" w:eastAsia="x-none"/>
        </w:rPr>
        <w:t xml:space="preserve"> esindajate juuresolekul </w:t>
      </w:r>
      <w:r w:rsidR="001F7B77">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 xml:space="preserve">eadme töövõime kontroll ning </w:t>
      </w:r>
      <w:r w:rsidR="001F7B77">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eadme</w:t>
      </w:r>
      <w:r>
        <w:rPr>
          <w:rFonts w:ascii="Times New Roman" w:eastAsia="Times New Roman" w:hAnsi="Times New Roman" w:cs="Times New Roman"/>
          <w:sz w:val="24"/>
          <w:szCs w:val="24"/>
          <w:lang w:eastAsia="x-none"/>
        </w:rPr>
        <w:t xml:space="preserve"> riigihanke</w:t>
      </w:r>
      <w:r w:rsidRPr="00E61D20">
        <w:rPr>
          <w:rFonts w:ascii="Times New Roman" w:eastAsia="Times New Roman" w:hAnsi="Times New Roman" w:cs="Times New Roman"/>
          <w:sz w:val="24"/>
          <w:szCs w:val="24"/>
          <w:lang w:val="x-none" w:eastAsia="x-none"/>
        </w:rPr>
        <w:t xml:space="preserve"> hankedokumentidele ja pakkumusele vastavuse kontroll;</w:t>
      </w:r>
    </w:p>
    <w:p w14:paraId="4C0BB825" w14:textId="2643BD3D" w:rsidR="002141A9" w:rsidRPr="00E61D20" w:rsidRDefault="002141A9" w:rsidP="00FB44A0">
      <w:pPr>
        <w:numPr>
          <w:ilvl w:val="2"/>
          <w:numId w:val="1"/>
        </w:numPr>
        <w:spacing w:after="0" w:line="240" w:lineRule="auto"/>
        <w:ind w:left="993" w:hanging="567"/>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kui üleantav </w:t>
      </w:r>
      <w:r w:rsidR="001F7B77">
        <w:rPr>
          <w:rFonts w:ascii="Times New Roman" w:eastAsia="Times New Roman" w:hAnsi="Times New Roman" w:cs="Times New Roman"/>
          <w:sz w:val="24"/>
          <w:szCs w:val="24"/>
          <w:lang w:eastAsia="x-none"/>
        </w:rPr>
        <w:t>s</w:t>
      </w:r>
      <w:r>
        <w:rPr>
          <w:rFonts w:ascii="Times New Roman" w:eastAsia="Times New Roman" w:hAnsi="Times New Roman" w:cs="Times New Roman"/>
          <w:sz w:val="24"/>
          <w:szCs w:val="24"/>
          <w:lang w:eastAsia="x-none"/>
        </w:rPr>
        <w:t>eade</w:t>
      </w:r>
      <w:r w:rsidRPr="00E61D20">
        <w:rPr>
          <w:rFonts w:ascii="Times New Roman" w:eastAsia="Times New Roman" w:hAnsi="Times New Roman" w:cs="Times New Roman"/>
          <w:sz w:val="24"/>
          <w:szCs w:val="24"/>
          <w:lang w:val="x-none" w:eastAsia="x-none"/>
        </w:rPr>
        <w:t xml:space="preserve"> on II a, II b või III klassi meditsiiniseade, esitab </w:t>
      </w:r>
      <w:r w:rsidRPr="00E61D20">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 xml:space="preserve"> enne üleandmis</w:t>
      </w:r>
      <w:r w:rsidRPr="00E61D20">
        <w:rPr>
          <w:rFonts w:ascii="Times New Roman" w:eastAsia="Times New Roman" w:hAnsi="Times New Roman" w:cs="Times New Roman"/>
          <w:sz w:val="24"/>
          <w:szCs w:val="24"/>
          <w:lang w:eastAsia="x-none"/>
        </w:rPr>
        <w:t>e</w:t>
      </w:r>
      <w:r w:rsidRPr="00E61D20">
        <w:rPr>
          <w:rFonts w:ascii="Times New Roman" w:eastAsia="Times New Roman" w:hAnsi="Times New Roman" w:cs="Times New Roman"/>
          <w:sz w:val="24"/>
          <w:szCs w:val="24"/>
          <w:lang w:val="x-none" w:eastAsia="x-none"/>
        </w:rPr>
        <w:t>-vastuvõt</w:t>
      </w:r>
      <w:r w:rsidRPr="00E61D20">
        <w:rPr>
          <w:rFonts w:ascii="Times New Roman" w:eastAsia="Times New Roman" w:hAnsi="Times New Roman" w:cs="Times New Roman"/>
          <w:sz w:val="24"/>
          <w:szCs w:val="24"/>
          <w:lang w:eastAsia="x-none"/>
        </w:rPr>
        <w:t>mise</w:t>
      </w:r>
      <w:r w:rsidRPr="00E61D20">
        <w:rPr>
          <w:rFonts w:ascii="Times New Roman" w:eastAsia="Times New Roman" w:hAnsi="Times New Roman" w:cs="Times New Roman"/>
          <w:sz w:val="24"/>
          <w:szCs w:val="24"/>
          <w:lang w:val="x-none" w:eastAsia="x-none"/>
        </w:rPr>
        <w:t xml:space="preserve"> akti allkirjastamist </w:t>
      </w:r>
      <w:r w:rsidRPr="00E61D20">
        <w:rPr>
          <w:rFonts w:ascii="Times New Roman" w:eastAsia="Times New Roman" w:hAnsi="Times New Roman" w:cs="Times New Roman"/>
          <w:sz w:val="24"/>
          <w:szCs w:val="24"/>
          <w:lang w:eastAsia="x-none"/>
        </w:rPr>
        <w:t>Ostjale</w:t>
      </w:r>
      <w:r w:rsidRPr="00E61D20">
        <w:rPr>
          <w:rFonts w:ascii="Times New Roman" w:eastAsia="Times New Roman" w:hAnsi="Times New Roman" w:cs="Times New Roman"/>
          <w:sz w:val="24"/>
          <w:szCs w:val="24"/>
          <w:lang w:val="x-none" w:eastAsia="x-none"/>
        </w:rPr>
        <w:t xml:space="preserve"> Terviseametist väljastatud teatise koopia seadme registreerimise kohta Terviseameti meditsiiniseadmete andmekogus</w:t>
      </w:r>
      <w:r>
        <w:rPr>
          <w:rFonts w:ascii="Times New Roman" w:eastAsia="Times New Roman" w:hAnsi="Times New Roman" w:cs="Times New Roman"/>
          <w:sz w:val="24"/>
          <w:szCs w:val="24"/>
          <w:lang w:eastAsia="x-none"/>
        </w:rPr>
        <w:t xml:space="preserve"> v.a. kui Müüja on esitanud vastavad andmed Lisa 2 koosseisus</w:t>
      </w:r>
      <w:r w:rsidRPr="00E61D20">
        <w:rPr>
          <w:rFonts w:ascii="Times New Roman" w:eastAsia="Times New Roman" w:hAnsi="Times New Roman" w:cs="Times New Roman"/>
          <w:sz w:val="24"/>
          <w:szCs w:val="24"/>
          <w:lang w:eastAsia="x-none"/>
        </w:rPr>
        <w:t>;</w:t>
      </w:r>
    </w:p>
    <w:p w14:paraId="78A43017" w14:textId="6A576E4D" w:rsidR="002141A9" w:rsidRPr="00E61D20" w:rsidRDefault="001F7B77" w:rsidP="00FB44A0">
      <w:pPr>
        <w:numPr>
          <w:ilvl w:val="2"/>
          <w:numId w:val="1"/>
        </w:numPr>
        <w:spacing w:after="0" w:line="240" w:lineRule="auto"/>
        <w:ind w:left="993" w:hanging="567"/>
        <w:jc w:val="both"/>
        <w:outlineLvl w:val="1"/>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s</w:t>
      </w:r>
      <w:r w:rsidR="002141A9" w:rsidRPr="00E61D20">
        <w:rPr>
          <w:rFonts w:ascii="Times New Roman" w:eastAsia="Times New Roman" w:hAnsi="Times New Roman" w:cs="Times New Roman"/>
          <w:sz w:val="24"/>
          <w:szCs w:val="24"/>
          <w:lang w:eastAsia="x-none"/>
        </w:rPr>
        <w:t xml:space="preserve">eadme </w:t>
      </w:r>
      <w:r w:rsidR="002141A9" w:rsidRPr="00E61D20">
        <w:rPr>
          <w:rFonts w:ascii="Times New Roman" w:eastAsia="Times New Roman" w:hAnsi="Times New Roman" w:cs="Times New Roman"/>
          <w:sz w:val="24"/>
          <w:szCs w:val="24"/>
          <w:lang w:val="x-none" w:eastAsia="x-none"/>
        </w:rPr>
        <w:t xml:space="preserve">üleandmine toimub </w:t>
      </w:r>
      <w:r w:rsidR="002141A9">
        <w:rPr>
          <w:rFonts w:ascii="Times New Roman" w:eastAsia="Times New Roman" w:hAnsi="Times New Roman" w:cs="Times New Roman"/>
          <w:sz w:val="24"/>
          <w:szCs w:val="24"/>
          <w:lang w:val="x-none" w:eastAsia="x-none"/>
        </w:rPr>
        <w:t>Ostja</w:t>
      </w:r>
      <w:r w:rsidR="002141A9" w:rsidRPr="00E61D20">
        <w:rPr>
          <w:rFonts w:ascii="Times New Roman" w:eastAsia="Times New Roman" w:hAnsi="Times New Roman" w:cs="Times New Roman"/>
          <w:sz w:val="24"/>
          <w:szCs w:val="24"/>
          <w:lang w:val="x-none" w:eastAsia="x-none"/>
        </w:rPr>
        <w:t xml:space="preserve"> ja </w:t>
      </w:r>
      <w:r w:rsidR="002141A9">
        <w:rPr>
          <w:rFonts w:ascii="Times New Roman" w:eastAsia="Times New Roman" w:hAnsi="Times New Roman" w:cs="Times New Roman"/>
          <w:sz w:val="24"/>
          <w:szCs w:val="24"/>
          <w:lang w:val="x-none" w:eastAsia="x-none"/>
        </w:rPr>
        <w:t>Müüja</w:t>
      </w:r>
      <w:r w:rsidR="002141A9" w:rsidRPr="00E61D20">
        <w:rPr>
          <w:rFonts w:ascii="Times New Roman" w:eastAsia="Times New Roman" w:hAnsi="Times New Roman" w:cs="Times New Roman"/>
          <w:sz w:val="24"/>
          <w:szCs w:val="24"/>
          <w:lang w:val="x-none" w:eastAsia="x-none"/>
        </w:rPr>
        <w:t xml:space="preserve"> esindajate poolt, pärast </w:t>
      </w:r>
      <w:r w:rsidR="002141A9">
        <w:rPr>
          <w:rFonts w:ascii="Times New Roman" w:eastAsia="Times New Roman" w:hAnsi="Times New Roman" w:cs="Times New Roman"/>
          <w:sz w:val="24"/>
          <w:szCs w:val="24"/>
          <w:lang w:eastAsia="x-none"/>
        </w:rPr>
        <w:t xml:space="preserve">Lepingu punktidest 4.3.1-4.3.3. tulenevate </w:t>
      </w:r>
      <w:r>
        <w:rPr>
          <w:rFonts w:ascii="Times New Roman" w:eastAsia="Times New Roman" w:hAnsi="Times New Roman" w:cs="Times New Roman"/>
          <w:sz w:val="24"/>
          <w:szCs w:val="24"/>
          <w:lang w:eastAsia="x-none"/>
        </w:rPr>
        <w:t>s</w:t>
      </w:r>
      <w:r w:rsidR="002141A9" w:rsidRPr="00E61D20">
        <w:rPr>
          <w:rFonts w:ascii="Times New Roman" w:eastAsia="Times New Roman" w:hAnsi="Times New Roman" w:cs="Times New Roman"/>
          <w:sz w:val="24"/>
          <w:szCs w:val="24"/>
          <w:lang w:val="x-none" w:eastAsia="x-none"/>
        </w:rPr>
        <w:t>eadme üleandmise tingimuste täitmist, üleandmis</w:t>
      </w:r>
      <w:r w:rsidR="002141A9" w:rsidRPr="00E61D20">
        <w:rPr>
          <w:rFonts w:ascii="Times New Roman" w:eastAsia="Times New Roman" w:hAnsi="Times New Roman" w:cs="Times New Roman"/>
          <w:sz w:val="24"/>
          <w:szCs w:val="24"/>
          <w:lang w:eastAsia="x-none"/>
        </w:rPr>
        <w:t>e</w:t>
      </w:r>
      <w:r w:rsidR="002141A9" w:rsidRPr="00E61D20">
        <w:rPr>
          <w:rFonts w:ascii="Times New Roman" w:eastAsia="Times New Roman" w:hAnsi="Times New Roman" w:cs="Times New Roman"/>
          <w:sz w:val="24"/>
          <w:szCs w:val="24"/>
          <w:lang w:val="x-none" w:eastAsia="x-none"/>
        </w:rPr>
        <w:t>-vastuvõt</w:t>
      </w:r>
      <w:r w:rsidR="002141A9" w:rsidRPr="00E61D20">
        <w:rPr>
          <w:rFonts w:ascii="Times New Roman" w:eastAsia="Times New Roman" w:hAnsi="Times New Roman" w:cs="Times New Roman"/>
          <w:sz w:val="24"/>
          <w:szCs w:val="24"/>
          <w:lang w:eastAsia="x-none"/>
        </w:rPr>
        <w:t>mise</w:t>
      </w:r>
      <w:r w:rsidR="002141A9" w:rsidRPr="00E61D20">
        <w:rPr>
          <w:rFonts w:ascii="Times New Roman" w:eastAsia="Times New Roman" w:hAnsi="Times New Roman" w:cs="Times New Roman"/>
          <w:sz w:val="24"/>
          <w:szCs w:val="24"/>
          <w:lang w:val="x-none" w:eastAsia="x-none"/>
        </w:rPr>
        <w:t xml:space="preserve"> akti allkirjastamise teel</w:t>
      </w:r>
      <w:r w:rsidR="002141A9">
        <w:rPr>
          <w:rFonts w:ascii="Times New Roman" w:eastAsia="Times New Roman" w:hAnsi="Times New Roman" w:cs="Times New Roman"/>
          <w:sz w:val="24"/>
          <w:szCs w:val="24"/>
          <w:lang w:eastAsia="x-none"/>
        </w:rPr>
        <w:t xml:space="preserve">. Üleandmise akti vormistab üleandmise ajahetkeks </w:t>
      </w:r>
      <w:r w:rsidR="002141A9" w:rsidRPr="00E61D20">
        <w:rPr>
          <w:rFonts w:ascii="Times New Roman" w:eastAsia="Times New Roman" w:hAnsi="Times New Roman" w:cs="Times New Roman"/>
          <w:sz w:val="24"/>
          <w:szCs w:val="24"/>
          <w:lang w:eastAsia="x-none"/>
        </w:rPr>
        <w:t>Müüja.</w:t>
      </w:r>
    </w:p>
    <w:p w14:paraId="4DD5DB97" w14:textId="77777777" w:rsidR="002141A9" w:rsidRPr="00E61D20" w:rsidRDefault="002141A9" w:rsidP="00FB44A0">
      <w:pPr>
        <w:numPr>
          <w:ilvl w:val="1"/>
          <w:numId w:val="1"/>
        </w:numPr>
        <w:spacing w:before="120" w:after="0" w:line="240" w:lineRule="auto"/>
        <w:ind w:left="709" w:hanging="425"/>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Seadme</w:t>
      </w:r>
      <w:r w:rsidRPr="00E61D20">
        <w:rPr>
          <w:rFonts w:ascii="Times New Roman" w:eastAsia="Calibri" w:hAnsi="Times New Roman" w:cs="Times New Roman"/>
          <w:sz w:val="24"/>
          <w:szCs w:val="24"/>
          <w:lang w:bidi="en-US"/>
        </w:rPr>
        <w:t xml:space="preserve"> juhusliku hävimise ja kahjustumise riisiko läheb Müüjalt Ostjale</w:t>
      </w:r>
      <w:r>
        <w:rPr>
          <w:rFonts w:ascii="Times New Roman" w:eastAsia="Calibri" w:hAnsi="Times New Roman" w:cs="Times New Roman"/>
          <w:sz w:val="24"/>
          <w:szCs w:val="24"/>
          <w:lang w:bidi="en-US"/>
        </w:rPr>
        <w:t xml:space="preserve"> üle</w:t>
      </w:r>
      <w:r w:rsidRPr="00E61D20">
        <w:rPr>
          <w:rFonts w:ascii="Times New Roman" w:eastAsia="Calibri" w:hAnsi="Times New Roman" w:cs="Times New Roman"/>
          <w:sz w:val="24"/>
          <w:szCs w:val="24"/>
          <w:lang w:bidi="en-US"/>
        </w:rPr>
        <w:t xml:space="preserve"> arvates Lepingu punktis 4.</w:t>
      </w:r>
      <w:r>
        <w:rPr>
          <w:rFonts w:ascii="Times New Roman" w:eastAsia="Calibri" w:hAnsi="Times New Roman" w:cs="Times New Roman"/>
          <w:sz w:val="24"/>
          <w:szCs w:val="24"/>
          <w:lang w:bidi="en-US"/>
        </w:rPr>
        <w:t>3.4</w:t>
      </w:r>
      <w:r w:rsidRPr="00E61D20">
        <w:rPr>
          <w:rFonts w:ascii="Times New Roman" w:eastAsia="Calibri" w:hAnsi="Times New Roman" w:cs="Times New Roman"/>
          <w:sz w:val="24"/>
          <w:szCs w:val="24"/>
          <w:lang w:bidi="en-US"/>
        </w:rPr>
        <w:t>. nimetatud akti allkirjastamisest.</w:t>
      </w:r>
    </w:p>
    <w:p w14:paraId="205605CD" w14:textId="6C567612" w:rsidR="002141A9" w:rsidRPr="00E61D20" w:rsidRDefault="00A71D48" w:rsidP="002141A9">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3" w:name="_Toc510985224"/>
      <w:r>
        <w:rPr>
          <w:rFonts w:ascii="Times New Roman" w:eastAsia="Calibri" w:hAnsi="Times New Roman" w:cs="Times New Roman"/>
          <w:b/>
          <w:sz w:val="24"/>
          <w:szCs w:val="24"/>
          <w:lang w:bidi="en-US"/>
        </w:rPr>
        <w:t>Seadme</w:t>
      </w:r>
      <w:r w:rsidR="002141A9">
        <w:rPr>
          <w:rFonts w:ascii="Times New Roman" w:eastAsia="Calibri" w:hAnsi="Times New Roman" w:cs="Times New Roman"/>
          <w:b/>
          <w:sz w:val="24"/>
          <w:szCs w:val="24"/>
          <w:lang w:bidi="en-US"/>
        </w:rPr>
        <w:t xml:space="preserve"> </w:t>
      </w:r>
      <w:r w:rsidR="002141A9" w:rsidRPr="00E61D20">
        <w:rPr>
          <w:rFonts w:ascii="Times New Roman" w:eastAsia="Calibri" w:hAnsi="Times New Roman" w:cs="Times New Roman"/>
          <w:b/>
          <w:sz w:val="24"/>
          <w:szCs w:val="24"/>
          <w:lang w:bidi="en-US"/>
        </w:rPr>
        <w:t xml:space="preserve">kvaliteet </w:t>
      </w:r>
      <w:r w:rsidR="002141A9">
        <w:rPr>
          <w:rFonts w:ascii="Times New Roman" w:eastAsia="Calibri" w:hAnsi="Times New Roman" w:cs="Times New Roman"/>
          <w:b/>
          <w:sz w:val="24"/>
          <w:szCs w:val="24"/>
          <w:lang w:bidi="en-US"/>
        </w:rPr>
        <w:t>ning</w:t>
      </w:r>
      <w:r w:rsidR="002141A9" w:rsidRPr="00E61D20">
        <w:rPr>
          <w:rFonts w:ascii="Times New Roman" w:eastAsia="Calibri" w:hAnsi="Times New Roman" w:cs="Times New Roman"/>
          <w:b/>
          <w:sz w:val="24"/>
          <w:szCs w:val="24"/>
          <w:lang w:bidi="en-US"/>
        </w:rPr>
        <w:t xml:space="preserve"> vastavus Lepingu tingimustele</w:t>
      </w:r>
      <w:bookmarkEnd w:id="3"/>
    </w:p>
    <w:p w14:paraId="1F294A10" w14:textId="2CF262DC" w:rsidR="002141A9" w:rsidRPr="00E61D20" w:rsidRDefault="002141A9" w:rsidP="00FB44A0">
      <w:pPr>
        <w:numPr>
          <w:ilvl w:val="1"/>
          <w:numId w:val="1"/>
        </w:numPr>
        <w:spacing w:before="120" w:after="0" w:line="240" w:lineRule="auto"/>
        <w:ind w:left="567" w:hanging="425"/>
        <w:jc w:val="both"/>
        <w:outlineLvl w:val="0"/>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Üleantava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 xml:space="preserve">eadme </w:t>
      </w:r>
      <w:r w:rsidRPr="00E61D20">
        <w:rPr>
          <w:rFonts w:ascii="Times New Roman" w:eastAsia="Calibri" w:hAnsi="Times New Roman" w:cs="Times New Roman"/>
          <w:sz w:val="24"/>
          <w:szCs w:val="24"/>
          <w:lang w:eastAsia="ar-SA" w:bidi="en-US"/>
        </w:rPr>
        <w:t>kvaliteet peab vastama HD-s sätestatud tehnilistele tingimustele ning kvaliteedinõuetele ning</w:t>
      </w:r>
      <w:r>
        <w:rPr>
          <w:rFonts w:ascii="Times New Roman" w:eastAsia="Calibri" w:hAnsi="Times New Roman" w:cs="Times New Roman"/>
          <w:sz w:val="24"/>
          <w:szCs w:val="24"/>
          <w:lang w:eastAsia="ar-SA" w:bidi="en-US"/>
        </w:rPr>
        <w:t xml:space="preserve">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eade</w:t>
      </w:r>
      <w:r w:rsidRPr="00E61D20">
        <w:rPr>
          <w:rFonts w:ascii="Times New Roman" w:eastAsia="Calibri" w:hAnsi="Times New Roman" w:cs="Times New Roman"/>
          <w:sz w:val="24"/>
          <w:szCs w:val="24"/>
          <w:lang w:eastAsia="ar-SA" w:bidi="en-US"/>
        </w:rPr>
        <w:t xml:space="preserve"> olema HD-s nõutud ja Pakkumuses pakutud komplektsuses</w:t>
      </w:r>
      <w:r w:rsidRPr="00E61D20">
        <w:rPr>
          <w:rFonts w:ascii="Times New Roman" w:eastAsia="Calibri" w:hAnsi="Times New Roman" w:cs="Times New Roman"/>
          <w:sz w:val="24"/>
          <w:szCs w:val="24"/>
          <w:lang w:bidi="en-US"/>
        </w:rPr>
        <w:t>.</w:t>
      </w:r>
    </w:p>
    <w:p w14:paraId="0E0B1152" w14:textId="7C662CB6" w:rsidR="002141A9" w:rsidRPr="00E61D20" w:rsidRDefault="002141A9" w:rsidP="00FB44A0">
      <w:pPr>
        <w:numPr>
          <w:ilvl w:val="1"/>
          <w:numId w:val="1"/>
        </w:numPr>
        <w:spacing w:before="120" w:after="0" w:line="240" w:lineRule="auto"/>
        <w:ind w:left="567" w:hanging="425"/>
        <w:jc w:val="both"/>
        <w:outlineLvl w:val="0"/>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Lepingus käsitlevad Pooled mõisteid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w:t>
      </w:r>
      <w:r w:rsidRPr="00E61D20">
        <w:rPr>
          <w:rFonts w:ascii="Times New Roman" w:eastAsia="Calibri" w:hAnsi="Times New Roman" w:cs="Times New Roman"/>
          <w:sz w:val="24"/>
          <w:szCs w:val="24"/>
          <w:lang w:eastAsia="ar-SA" w:bidi="en-US"/>
        </w:rPr>
        <w:t xml:space="preserve"> mittekvaliteetsus" ja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w:t>
      </w:r>
      <w:r w:rsidRPr="00E61D20">
        <w:rPr>
          <w:rFonts w:ascii="Times New Roman" w:eastAsia="Calibri" w:hAnsi="Times New Roman" w:cs="Times New Roman"/>
          <w:sz w:val="24"/>
          <w:szCs w:val="24"/>
          <w:lang w:eastAsia="ar-SA" w:bidi="en-US"/>
        </w:rPr>
        <w:t xml:space="preserve"> mittevastavus Lepingule" järgmises tähenduses</w:t>
      </w:r>
      <w:r w:rsidRPr="00E61D20">
        <w:rPr>
          <w:rFonts w:ascii="Times New Roman" w:eastAsia="Calibri" w:hAnsi="Times New Roman" w:cs="Times New Roman"/>
          <w:sz w:val="24"/>
          <w:szCs w:val="24"/>
          <w:lang w:bidi="en-US"/>
        </w:rPr>
        <w:t>:</w:t>
      </w:r>
    </w:p>
    <w:p w14:paraId="59A43188" w14:textId="42D9186E" w:rsidR="002141A9" w:rsidRPr="00E61D20" w:rsidRDefault="001F7B77" w:rsidP="00FB44A0">
      <w:pPr>
        <w:numPr>
          <w:ilvl w:val="2"/>
          <w:numId w:val="1"/>
        </w:numPr>
        <w:spacing w:after="0" w:line="240" w:lineRule="auto"/>
        <w:ind w:left="1134" w:hanging="708"/>
        <w:jc w:val="both"/>
        <w:outlineLvl w:val="0"/>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t>s</w:t>
      </w:r>
      <w:r w:rsidR="002141A9">
        <w:rPr>
          <w:rFonts w:ascii="Times New Roman" w:eastAsia="Calibri" w:hAnsi="Times New Roman" w:cs="Times New Roman"/>
          <w:sz w:val="24"/>
          <w:szCs w:val="24"/>
          <w:lang w:eastAsia="ar-SA" w:bidi="en-US"/>
        </w:rPr>
        <w:t>eadme</w:t>
      </w:r>
      <w:r w:rsidR="002141A9" w:rsidRPr="00E61D20">
        <w:rPr>
          <w:rFonts w:ascii="Times New Roman" w:eastAsia="Calibri" w:hAnsi="Times New Roman" w:cs="Times New Roman"/>
          <w:sz w:val="24"/>
          <w:szCs w:val="24"/>
          <w:lang w:eastAsia="ar-SA" w:bidi="en-US"/>
        </w:rPr>
        <w:t xml:space="preserve"> mittekvaliteetsus – </w:t>
      </w:r>
      <w:r>
        <w:rPr>
          <w:rFonts w:ascii="Times New Roman" w:eastAsia="Calibri" w:hAnsi="Times New Roman" w:cs="Times New Roman"/>
          <w:sz w:val="24"/>
          <w:szCs w:val="24"/>
          <w:lang w:eastAsia="ar-SA" w:bidi="en-US"/>
        </w:rPr>
        <w:t>s</w:t>
      </w:r>
      <w:r w:rsidR="002141A9">
        <w:rPr>
          <w:rFonts w:ascii="Times New Roman" w:eastAsia="Calibri" w:hAnsi="Times New Roman" w:cs="Times New Roman"/>
          <w:sz w:val="24"/>
          <w:szCs w:val="24"/>
          <w:lang w:eastAsia="ar-SA" w:bidi="en-US"/>
        </w:rPr>
        <w:t>eade</w:t>
      </w:r>
      <w:r w:rsidR="002141A9" w:rsidRPr="00E61D20">
        <w:rPr>
          <w:rFonts w:ascii="Times New Roman" w:eastAsia="Calibri" w:hAnsi="Times New Roman" w:cs="Times New Roman"/>
          <w:sz w:val="24"/>
          <w:szCs w:val="24"/>
          <w:lang w:eastAsia="ar-SA" w:bidi="en-US"/>
        </w:rPr>
        <w:t xml:space="preserve"> ei vasta kvaliteedisertifikaadile või mõnele muule Poolte vahel kokku lepitud </w:t>
      </w:r>
      <w:r>
        <w:rPr>
          <w:rFonts w:ascii="Times New Roman" w:eastAsia="Calibri" w:hAnsi="Times New Roman" w:cs="Times New Roman"/>
          <w:sz w:val="24"/>
          <w:szCs w:val="24"/>
          <w:lang w:eastAsia="ar-SA" w:bidi="en-US"/>
        </w:rPr>
        <w:t>s</w:t>
      </w:r>
      <w:r w:rsidR="002141A9">
        <w:rPr>
          <w:rFonts w:ascii="Times New Roman" w:eastAsia="Calibri" w:hAnsi="Times New Roman" w:cs="Times New Roman"/>
          <w:sz w:val="24"/>
          <w:szCs w:val="24"/>
          <w:lang w:eastAsia="ar-SA" w:bidi="en-US"/>
        </w:rPr>
        <w:t>eadme</w:t>
      </w:r>
      <w:r w:rsidR="002141A9" w:rsidRPr="00E61D20">
        <w:rPr>
          <w:rFonts w:ascii="Times New Roman" w:eastAsia="Calibri" w:hAnsi="Times New Roman" w:cs="Times New Roman"/>
          <w:sz w:val="24"/>
          <w:szCs w:val="24"/>
          <w:lang w:eastAsia="ar-SA" w:bidi="en-US"/>
        </w:rPr>
        <w:t xml:space="preserve"> kvaliteeti tõendavale dokumendile</w:t>
      </w:r>
      <w:r w:rsidR="002141A9" w:rsidRPr="00E61D20">
        <w:rPr>
          <w:rFonts w:ascii="Times New Roman" w:eastAsia="Calibri" w:hAnsi="Times New Roman" w:cs="Times New Roman"/>
          <w:sz w:val="24"/>
          <w:szCs w:val="24"/>
          <w:lang w:bidi="en-US"/>
        </w:rPr>
        <w:t>;</w:t>
      </w:r>
    </w:p>
    <w:p w14:paraId="0B0D17D5" w14:textId="7A570BB7" w:rsidR="002141A9" w:rsidRPr="00E61D20" w:rsidRDefault="001F7B77" w:rsidP="00FB44A0">
      <w:pPr>
        <w:numPr>
          <w:ilvl w:val="2"/>
          <w:numId w:val="1"/>
        </w:numPr>
        <w:spacing w:after="0" w:line="240" w:lineRule="auto"/>
        <w:ind w:left="1134" w:hanging="708"/>
        <w:jc w:val="both"/>
        <w:outlineLvl w:val="0"/>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t>s</w:t>
      </w:r>
      <w:r w:rsidR="002141A9">
        <w:rPr>
          <w:rFonts w:ascii="Times New Roman" w:eastAsia="Calibri" w:hAnsi="Times New Roman" w:cs="Times New Roman"/>
          <w:sz w:val="24"/>
          <w:szCs w:val="24"/>
          <w:lang w:eastAsia="ar-SA" w:bidi="en-US"/>
        </w:rPr>
        <w:t>eadme</w:t>
      </w:r>
      <w:r w:rsidR="002141A9" w:rsidRPr="00E61D20">
        <w:rPr>
          <w:rFonts w:ascii="Times New Roman" w:eastAsia="Calibri" w:hAnsi="Times New Roman" w:cs="Times New Roman"/>
          <w:sz w:val="24"/>
          <w:szCs w:val="24"/>
          <w:lang w:eastAsia="ar-SA" w:bidi="en-US"/>
        </w:rPr>
        <w:t xml:space="preserve"> mittevastavus Lepingule – </w:t>
      </w:r>
      <w:r>
        <w:rPr>
          <w:rFonts w:ascii="Times New Roman" w:eastAsia="Calibri" w:hAnsi="Times New Roman" w:cs="Times New Roman"/>
          <w:sz w:val="24"/>
          <w:szCs w:val="24"/>
          <w:lang w:eastAsia="ar-SA" w:bidi="en-US"/>
        </w:rPr>
        <w:t>s</w:t>
      </w:r>
      <w:r w:rsidR="002141A9">
        <w:rPr>
          <w:rFonts w:ascii="Times New Roman" w:eastAsia="Calibri" w:hAnsi="Times New Roman" w:cs="Times New Roman"/>
          <w:sz w:val="24"/>
          <w:szCs w:val="24"/>
          <w:lang w:eastAsia="ar-SA" w:bidi="en-US"/>
        </w:rPr>
        <w:t>eade</w:t>
      </w:r>
      <w:r w:rsidR="002141A9" w:rsidRPr="00E61D20">
        <w:rPr>
          <w:rFonts w:ascii="Times New Roman" w:eastAsia="Calibri" w:hAnsi="Times New Roman" w:cs="Times New Roman"/>
          <w:sz w:val="24"/>
          <w:szCs w:val="24"/>
          <w:lang w:eastAsia="ar-SA" w:bidi="en-US"/>
        </w:rPr>
        <w:t xml:space="preserve"> on kõlbmatu otstarbeks, milleks säärase kirjeldusega kaupa harilikult kasutatakse või </w:t>
      </w:r>
      <w:r>
        <w:rPr>
          <w:rFonts w:ascii="Times New Roman" w:eastAsia="Calibri" w:hAnsi="Times New Roman" w:cs="Times New Roman"/>
          <w:sz w:val="24"/>
          <w:szCs w:val="24"/>
          <w:lang w:eastAsia="ar-SA" w:bidi="en-US"/>
        </w:rPr>
        <w:t>s</w:t>
      </w:r>
      <w:r w:rsidR="002141A9">
        <w:rPr>
          <w:rFonts w:ascii="Times New Roman" w:eastAsia="Calibri" w:hAnsi="Times New Roman" w:cs="Times New Roman"/>
          <w:sz w:val="24"/>
          <w:szCs w:val="24"/>
          <w:lang w:eastAsia="ar-SA" w:bidi="en-US"/>
        </w:rPr>
        <w:t>eade</w:t>
      </w:r>
      <w:r w:rsidR="002141A9" w:rsidRPr="00E61D20">
        <w:rPr>
          <w:rFonts w:ascii="Times New Roman" w:eastAsia="Calibri" w:hAnsi="Times New Roman" w:cs="Times New Roman"/>
          <w:sz w:val="24"/>
          <w:szCs w:val="24"/>
          <w:lang w:eastAsia="ar-SA" w:bidi="en-US"/>
        </w:rPr>
        <w:t xml:space="preserve"> on kõlbmatu selleks </w:t>
      </w:r>
      <w:r w:rsidR="002141A9" w:rsidRPr="00E61D20">
        <w:rPr>
          <w:rFonts w:ascii="Times New Roman" w:eastAsia="Calibri" w:hAnsi="Times New Roman" w:cs="Times New Roman"/>
          <w:sz w:val="24"/>
          <w:szCs w:val="24"/>
          <w:lang w:eastAsia="ar-SA" w:bidi="en-US"/>
        </w:rPr>
        <w:lastRenderedPageBreak/>
        <w:t xml:space="preserve">eesmärgiks, millest teisele Poolele teatati või </w:t>
      </w:r>
      <w:r>
        <w:rPr>
          <w:rFonts w:ascii="Times New Roman" w:eastAsia="Calibri" w:hAnsi="Times New Roman" w:cs="Times New Roman"/>
          <w:sz w:val="24"/>
          <w:szCs w:val="24"/>
          <w:lang w:eastAsia="ar-SA" w:bidi="en-US"/>
        </w:rPr>
        <w:t>s</w:t>
      </w:r>
      <w:r w:rsidR="002141A9">
        <w:rPr>
          <w:rFonts w:ascii="Times New Roman" w:eastAsia="Calibri" w:hAnsi="Times New Roman" w:cs="Times New Roman"/>
          <w:sz w:val="24"/>
          <w:szCs w:val="24"/>
          <w:lang w:eastAsia="ar-SA" w:bidi="en-US"/>
        </w:rPr>
        <w:t>eade</w:t>
      </w:r>
      <w:r w:rsidR="002141A9" w:rsidRPr="00E61D20">
        <w:rPr>
          <w:rFonts w:ascii="Times New Roman" w:eastAsia="Calibri" w:hAnsi="Times New Roman" w:cs="Times New Roman"/>
          <w:sz w:val="24"/>
          <w:szCs w:val="24"/>
          <w:lang w:eastAsia="ar-SA" w:bidi="en-US"/>
        </w:rPr>
        <w:t xml:space="preserve"> pole pakitud sellisel viisil, nagu Poolte vahel kokku lepiti või nagu sellist </w:t>
      </w:r>
      <w:r w:rsidR="002141A9">
        <w:rPr>
          <w:rFonts w:ascii="Times New Roman" w:eastAsia="Calibri" w:hAnsi="Times New Roman" w:cs="Times New Roman"/>
          <w:sz w:val="24"/>
          <w:szCs w:val="24"/>
          <w:lang w:eastAsia="ar-SA" w:bidi="en-US"/>
        </w:rPr>
        <w:t>Seadet</w:t>
      </w:r>
      <w:r w:rsidR="002141A9" w:rsidRPr="00E61D20">
        <w:rPr>
          <w:rFonts w:ascii="Times New Roman" w:eastAsia="Calibri" w:hAnsi="Times New Roman" w:cs="Times New Roman"/>
          <w:sz w:val="24"/>
          <w:szCs w:val="24"/>
          <w:lang w:eastAsia="ar-SA" w:bidi="en-US"/>
        </w:rPr>
        <w:t xml:space="preserve"> harilikult pakitakse või </w:t>
      </w:r>
      <w:r>
        <w:rPr>
          <w:rFonts w:ascii="Times New Roman" w:eastAsia="Calibri" w:hAnsi="Times New Roman" w:cs="Times New Roman"/>
          <w:sz w:val="24"/>
          <w:szCs w:val="24"/>
          <w:lang w:eastAsia="ar-SA" w:bidi="en-US"/>
        </w:rPr>
        <w:t>s</w:t>
      </w:r>
      <w:r w:rsidR="002141A9">
        <w:rPr>
          <w:rFonts w:ascii="Times New Roman" w:eastAsia="Calibri" w:hAnsi="Times New Roman" w:cs="Times New Roman"/>
          <w:sz w:val="24"/>
          <w:szCs w:val="24"/>
          <w:lang w:eastAsia="ar-SA" w:bidi="en-US"/>
        </w:rPr>
        <w:t>eade</w:t>
      </w:r>
      <w:r w:rsidR="002141A9" w:rsidRPr="00E61D20">
        <w:rPr>
          <w:rFonts w:ascii="Times New Roman" w:eastAsia="Calibri" w:hAnsi="Times New Roman" w:cs="Times New Roman"/>
          <w:sz w:val="24"/>
          <w:szCs w:val="24"/>
          <w:lang w:eastAsia="ar-SA" w:bidi="en-US"/>
        </w:rPr>
        <w:t xml:space="preserve"> ei ole see </w:t>
      </w:r>
      <w:r w:rsidR="002141A9">
        <w:rPr>
          <w:rFonts w:ascii="Times New Roman" w:eastAsia="Calibri" w:hAnsi="Times New Roman" w:cs="Times New Roman"/>
          <w:sz w:val="24"/>
          <w:szCs w:val="24"/>
          <w:lang w:eastAsia="ar-SA" w:bidi="en-US"/>
        </w:rPr>
        <w:t>toode</w:t>
      </w:r>
      <w:r w:rsidR="002141A9" w:rsidRPr="00E61D20">
        <w:rPr>
          <w:rFonts w:ascii="Times New Roman" w:eastAsia="Calibri" w:hAnsi="Times New Roman" w:cs="Times New Roman"/>
          <w:sz w:val="24"/>
          <w:szCs w:val="24"/>
          <w:lang w:eastAsia="ar-SA" w:bidi="en-US"/>
        </w:rPr>
        <w:t>, mille üleandmises Pooled kokku leppisid</w:t>
      </w:r>
      <w:r w:rsidR="002141A9" w:rsidRPr="00E61D20">
        <w:rPr>
          <w:rFonts w:ascii="Times New Roman" w:eastAsia="Calibri" w:hAnsi="Times New Roman" w:cs="Times New Roman"/>
          <w:sz w:val="24"/>
          <w:szCs w:val="24"/>
          <w:lang w:bidi="en-US"/>
        </w:rPr>
        <w:t>.</w:t>
      </w:r>
    </w:p>
    <w:p w14:paraId="10580FA9" w14:textId="330A8F77" w:rsidR="002141A9" w:rsidRPr="00E61D20" w:rsidRDefault="002141A9" w:rsidP="00FB44A0">
      <w:pPr>
        <w:numPr>
          <w:ilvl w:val="1"/>
          <w:numId w:val="1"/>
        </w:numPr>
        <w:spacing w:before="120" w:after="0" w:line="240" w:lineRule="auto"/>
        <w:ind w:left="709"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Juhul, kui Ostja avastab pärast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w:t>
      </w:r>
      <w:r w:rsidRPr="00E61D20">
        <w:rPr>
          <w:rFonts w:ascii="Times New Roman" w:eastAsia="Calibri" w:hAnsi="Times New Roman" w:cs="Times New Roman"/>
          <w:sz w:val="24"/>
          <w:szCs w:val="24"/>
          <w:lang w:eastAsia="ar-SA" w:bidi="en-US"/>
        </w:rPr>
        <w:t xml:space="preserve"> vastuvõtmist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w:t>
      </w:r>
      <w:r w:rsidRPr="00E61D20">
        <w:rPr>
          <w:rFonts w:ascii="Times New Roman" w:eastAsia="Calibri" w:hAnsi="Times New Roman" w:cs="Times New Roman"/>
          <w:sz w:val="24"/>
          <w:szCs w:val="24"/>
          <w:lang w:eastAsia="ar-SA" w:bidi="en-US"/>
        </w:rPr>
        <w:t xml:space="preserve"> mittevastavuse Lepinguga või mittekvaliteetsuse, teatab ta sellest koheselt Müüjale ja taotleb</w:t>
      </w:r>
      <w:r>
        <w:rPr>
          <w:rFonts w:ascii="Times New Roman" w:eastAsia="Calibri" w:hAnsi="Times New Roman" w:cs="Times New Roman"/>
          <w:sz w:val="24"/>
          <w:szCs w:val="24"/>
          <w:lang w:eastAsia="ar-SA" w:bidi="en-US"/>
        </w:rPr>
        <w:t xml:space="preserve"> Seadme </w:t>
      </w:r>
      <w:r w:rsidRPr="00B35CFE">
        <w:rPr>
          <w:rFonts w:ascii="Times New Roman" w:eastAsia="Calibri" w:hAnsi="Times New Roman" w:cs="Times New Roman"/>
          <w:sz w:val="24"/>
          <w:szCs w:val="24"/>
          <w:lang w:eastAsia="ar-SA" w:bidi="en-US"/>
        </w:rPr>
        <w:t>mittevastavuse korral Lepingu p</w:t>
      </w:r>
      <w:r w:rsidR="00B35CFE" w:rsidRPr="00B35CFE">
        <w:rPr>
          <w:rFonts w:ascii="Times New Roman" w:eastAsia="Calibri" w:hAnsi="Times New Roman" w:cs="Times New Roman"/>
          <w:sz w:val="24"/>
          <w:szCs w:val="24"/>
          <w:lang w:eastAsia="ar-SA" w:bidi="en-US"/>
        </w:rPr>
        <w:t>unkt</w:t>
      </w:r>
      <w:r w:rsidR="00445372">
        <w:rPr>
          <w:rFonts w:ascii="Times New Roman" w:eastAsia="Calibri" w:hAnsi="Times New Roman" w:cs="Times New Roman"/>
          <w:sz w:val="24"/>
          <w:szCs w:val="24"/>
          <w:lang w:eastAsia="ar-SA" w:bidi="en-US"/>
        </w:rPr>
        <w:t>is</w:t>
      </w:r>
      <w:r w:rsidRPr="00B35CFE">
        <w:rPr>
          <w:rFonts w:ascii="Times New Roman" w:eastAsia="Calibri" w:hAnsi="Times New Roman" w:cs="Times New Roman"/>
          <w:sz w:val="24"/>
          <w:szCs w:val="24"/>
          <w:lang w:eastAsia="ar-SA" w:bidi="en-US"/>
        </w:rPr>
        <w:t xml:space="preserve"> 1</w:t>
      </w:r>
      <w:r w:rsidR="00445372">
        <w:rPr>
          <w:rFonts w:ascii="Times New Roman" w:eastAsia="Calibri" w:hAnsi="Times New Roman" w:cs="Times New Roman"/>
          <w:sz w:val="24"/>
          <w:szCs w:val="24"/>
          <w:lang w:eastAsia="ar-SA" w:bidi="en-US"/>
        </w:rPr>
        <w:t>2</w:t>
      </w:r>
      <w:r w:rsidRPr="00B35CFE">
        <w:rPr>
          <w:rFonts w:ascii="Times New Roman" w:eastAsia="Calibri" w:hAnsi="Times New Roman" w:cs="Times New Roman"/>
          <w:sz w:val="24"/>
          <w:szCs w:val="24"/>
          <w:lang w:eastAsia="ar-SA" w:bidi="en-US"/>
        </w:rPr>
        <w:t xml:space="preserve"> ettenähtud vormis Müüja esindaja kohale kutsumist</w:t>
      </w:r>
      <w:r w:rsidRPr="00B35CFE">
        <w:rPr>
          <w:rFonts w:ascii="Times New Roman" w:eastAsia="Calibri" w:hAnsi="Times New Roman" w:cs="Times New Roman"/>
          <w:sz w:val="24"/>
          <w:szCs w:val="24"/>
          <w:lang w:bidi="en-US"/>
        </w:rPr>
        <w:t>.</w:t>
      </w:r>
    </w:p>
    <w:p w14:paraId="1D5D9299" w14:textId="580F22F0" w:rsidR="002141A9" w:rsidRPr="00E61D20" w:rsidRDefault="002141A9" w:rsidP="00FB44A0">
      <w:pPr>
        <w:numPr>
          <w:ilvl w:val="1"/>
          <w:numId w:val="1"/>
        </w:numPr>
        <w:spacing w:before="120" w:after="0" w:line="240" w:lineRule="auto"/>
        <w:ind w:left="709" w:hanging="567"/>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t xml:space="preserve">Seadme mittevastavuse korral koostatakse </w:t>
      </w:r>
      <w:r w:rsidRPr="00E61D20">
        <w:rPr>
          <w:rFonts w:ascii="Times New Roman" w:eastAsia="Calibri" w:hAnsi="Times New Roman" w:cs="Times New Roman"/>
          <w:sz w:val="24"/>
          <w:szCs w:val="24"/>
          <w:lang w:eastAsia="ar-SA" w:bidi="en-US"/>
        </w:rPr>
        <w:t xml:space="preserve">Müüja esindaja juuresolekul </w:t>
      </w:r>
      <w:r w:rsidR="00AF7FF5">
        <w:rPr>
          <w:rFonts w:ascii="Times New Roman" w:eastAsia="Calibri" w:hAnsi="Times New Roman" w:cs="Times New Roman"/>
          <w:sz w:val="24"/>
          <w:szCs w:val="24"/>
          <w:lang w:eastAsia="ar-SA" w:bidi="en-US"/>
        </w:rPr>
        <w:t>seitsme (</w:t>
      </w:r>
      <w:r w:rsidRPr="00E61D20">
        <w:rPr>
          <w:rFonts w:ascii="Times New Roman" w:eastAsia="Calibri" w:hAnsi="Times New Roman" w:cs="Times New Roman"/>
          <w:sz w:val="24"/>
          <w:szCs w:val="24"/>
          <w:lang w:eastAsia="ar-SA" w:bidi="en-US"/>
        </w:rPr>
        <w:t>7</w:t>
      </w:r>
      <w:r w:rsidR="00AF7FF5">
        <w:rPr>
          <w:rFonts w:ascii="Times New Roman" w:eastAsia="Calibri" w:hAnsi="Times New Roman" w:cs="Times New Roman"/>
          <w:sz w:val="24"/>
          <w:szCs w:val="24"/>
          <w:lang w:eastAsia="ar-SA" w:bidi="en-US"/>
        </w:rPr>
        <w:t>)</w:t>
      </w:r>
      <w:r w:rsidRPr="00E61D20">
        <w:rPr>
          <w:rFonts w:ascii="Times New Roman" w:eastAsia="Calibri" w:hAnsi="Times New Roman" w:cs="Times New Roman"/>
          <w:sz w:val="24"/>
          <w:szCs w:val="24"/>
          <w:lang w:eastAsia="ar-SA" w:bidi="en-US"/>
        </w:rPr>
        <w:t xml:space="preserve"> päeva jooksul kahepoolne akt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w:t>
      </w:r>
      <w:r w:rsidRPr="00E61D20">
        <w:rPr>
          <w:rFonts w:ascii="Times New Roman" w:eastAsia="Calibri" w:hAnsi="Times New Roman" w:cs="Times New Roman"/>
          <w:sz w:val="24"/>
          <w:szCs w:val="24"/>
          <w:lang w:eastAsia="ar-SA" w:bidi="en-US"/>
        </w:rPr>
        <w:t xml:space="preserve"> puuduste kohta.</w:t>
      </w:r>
      <w:r>
        <w:rPr>
          <w:rFonts w:ascii="Times New Roman" w:eastAsia="Calibri" w:hAnsi="Times New Roman" w:cs="Times New Roman"/>
          <w:sz w:val="24"/>
          <w:szCs w:val="24"/>
          <w:lang w:eastAsia="ar-SA" w:bidi="en-US"/>
        </w:rPr>
        <w:t xml:space="preserve"> </w:t>
      </w:r>
    </w:p>
    <w:p w14:paraId="29CDC702" w14:textId="77777777" w:rsidR="002141A9" w:rsidRPr="00E61D20" w:rsidRDefault="002141A9" w:rsidP="00FB44A0">
      <w:pPr>
        <w:numPr>
          <w:ilvl w:val="1"/>
          <w:numId w:val="1"/>
        </w:numPr>
        <w:spacing w:before="120" w:after="0" w:line="240" w:lineRule="auto"/>
        <w:ind w:left="709"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Juhul, kui Müüja oma esindajat määratud tähtajaks kohale ei saada või väljakutsele</w:t>
      </w:r>
      <w:r>
        <w:rPr>
          <w:rFonts w:ascii="Times New Roman" w:eastAsia="Calibri" w:hAnsi="Times New Roman" w:cs="Times New Roman"/>
          <w:sz w:val="24"/>
          <w:szCs w:val="24"/>
          <w:lang w:bidi="en-US"/>
        </w:rPr>
        <w:t>/teatele</w:t>
      </w:r>
      <w:r w:rsidRPr="00E61D20">
        <w:rPr>
          <w:rFonts w:ascii="Times New Roman" w:eastAsia="Calibri" w:hAnsi="Times New Roman" w:cs="Times New Roman"/>
          <w:sz w:val="24"/>
          <w:szCs w:val="24"/>
          <w:lang w:bidi="en-US"/>
        </w:rPr>
        <w:t xml:space="preserve"> ei reageeri, võib Ostja omal valikul kas: </w:t>
      </w:r>
    </w:p>
    <w:p w14:paraId="56585FE2" w14:textId="77777777" w:rsidR="002141A9" w:rsidRPr="00E61D20" w:rsidRDefault="002141A9" w:rsidP="00FB44A0">
      <w:pPr>
        <w:numPr>
          <w:ilvl w:val="2"/>
          <w:numId w:val="1"/>
        </w:numPr>
        <w:tabs>
          <w:tab w:val="left" w:pos="1134"/>
        </w:tabs>
        <w:spacing w:after="0" w:line="240" w:lineRule="auto"/>
        <w:ind w:left="709" w:hanging="142"/>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koostada ühepoolse akti, mis on nõude esitamise aluseks</w:t>
      </w:r>
      <w:r w:rsidRPr="00E61D20">
        <w:rPr>
          <w:rFonts w:ascii="Times New Roman" w:eastAsia="Calibri" w:hAnsi="Times New Roman" w:cs="Times New Roman"/>
          <w:sz w:val="24"/>
          <w:szCs w:val="24"/>
          <w:lang w:bidi="en-US"/>
        </w:rPr>
        <w:t>;</w:t>
      </w:r>
    </w:p>
    <w:p w14:paraId="176337DF" w14:textId="77777777" w:rsidR="002141A9" w:rsidRPr="00E61D20" w:rsidRDefault="002141A9" w:rsidP="00FB44A0">
      <w:pPr>
        <w:numPr>
          <w:ilvl w:val="2"/>
          <w:numId w:val="1"/>
        </w:numPr>
        <w:tabs>
          <w:tab w:val="left" w:pos="1134"/>
        </w:tabs>
        <w:spacing w:after="0" w:line="240" w:lineRule="auto"/>
        <w:ind w:left="709" w:hanging="142"/>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kasutada Müüja kulul erapooletut eksperti, kes vormistab vastava akti.</w:t>
      </w:r>
    </w:p>
    <w:p w14:paraId="54632686" w14:textId="0B5139D2" w:rsidR="002141A9" w:rsidRPr="00E61D20" w:rsidRDefault="002141A9" w:rsidP="00FB44A0">
      <w:pPr>
        <w:numPr>
          <w:ilvl w:val="1"/>
          <w:numId w:val="1"/>
        </w:numPr>
        <w:spacing w:before="120" w:after="0" w:line="240" w:lineRule="auto"/>
        <w:ind w:left="709"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Mittekvaliteetse või Lepingu tingimustele mittevastava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 xml:space="preserve">eadme </w:t>
      </w:r>
      <w:r w:rsidRPr="00E61D20">
        <w:rPr>
          <w:rFonts w:ascii="Times New Roman" w:eastAsia="Calibri" w:hAnsi="Times New Roman" w:cs="Times New Roman"/>
          <w:sz w:val="24"/>
          <w:szCs w:val="24"/>
          <w:lang w:eastAsia="ar-SA" w:bidi="en-US"/>
        </w:rPr>
        <w:t>üleandmisel on Müüja kohustatud Ostja nõudmisel kas:</w:t>
      </w:r>
    </w:p>
    <w:p w14:paraId="7AC9CB93" w14:textId="76DEE1F1" w:rsidR="002141A9" w:rsidRPr="00E61D20" w:rsidRDefault="002141A9" w:rsidP="00FB44A0">
      <w:pPr>
        <w:numPr>
          <w:ilvl w:val="2"/>
          <w:numId w:val="1"/>
        </w:numPr>
        <w:tabs>
          <w:tab w:val="left" w:pos="1843"/>
        </w:tabs>
        <w:spacing w:after="0" w:line="240" w:lineRule="auto"/>
        <w:ind w:left="709"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vahetama mittekvaliteetse või Lepingu tingimustele mittevastava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 ja/või selle osa</w:t>
      </w:r>
      <w:r w:rsidRPr="00E61D20">
        <w:rPr>
          <w:rFonts w:ascii="Times New Roman" w:eastAsia="Calibri" w:hAnsi="Times New Roman" w:cs="Times New Roman"/>
          <w:sz w:val="24"/>
          <w:szCs w:val="24"/>
          <w:lang w:eastAsia="ar-SA" w:bidi="en-US"/>
        </w:rPr>
        <w:t xml:space="preserve"> omal kulul ümber vastava kvaliteediga või Lepingu tingimustele vastava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 xml:space="preserve">eadme või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 osa</w:t>
      </w:r>
      <w:r w:rsidRPr="00E61D20">
        <w:rPr>
          <w:rFonts w:ascii="Times New Roman" w:eastAsia="Calibri" w:hAnsi="Times New Roman" w:cs="Times New Roman"/>
          <w:sz w:val="24"/>
          <w:szCs w:val="24"/>
          <w:lang w:eastAsia="ar-SA" w:bidi="en-US"/>
        </w:rPr>
        <w:t xml:space="preserve"> vastu Poolte kokkuleppel määratud tähtaja jooksul;</w:t>
      </w:r>
    </w:p>
    <w:p w14:paraId="2A93D1FF" w14:textId="02BEFA14" w:rsidR="002141A9" w:rsidRPr="00E61D20" w:rsidRDefault="002141A9" w:rsidP="00FB44A0">
      <w:pPr>
        <w:numPr>
          <w:ilvl w:val="2"/>
          <w:numId w:val="1"/>
        </w:numPr>
        <w:tabs>
          <w:tab w:val="left" w:pos="1843"/>
        </w:tabs>
        <w:spacing w:after="120" w:line="240" w:lineRule="auto"/>
        <w:ind w:left="709"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parandama tasuta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w:t>
      </w:r>
      <w:r w:rsidRPr="00E61D20">
        <w:rPr>
          <w:rFonts w:ascii="Times New Roman" w:eastAsia="Calibri" w:hAnsi="Times New Roman" w:cs="Times New Roman"/>
          <w:sz w:val="24"/>
          <w:szCs w:val="24"/>
          <w:lang w:eastAsia="ar-SA" w:bidi="en-US"/>
        </w:rPr>
        <w:t xml:space="preserve"> kvaliteeti või hüvitama Ostjale parandamise kulud Poolte kokkuleppel määratud tähtaja jooksul</w:t>
      </w:r>
      <w:r w:rsidRPr="00E61D20">
        <w:rPr>
          <w:rFonts w:ascii="Times New Roman" w:eastAsia="Calibri" w:hAnsi="Times New Roman" w:cs="Times New Roman"/>
          <w:sz w:val="24"/>
          <w:szCs w:val="24"/>
          <w:lang w:bidi="en-US"/>
        </w:rPr>
        <w:t>.</w:t>
      </w:r>
    </w:p>
    <w:p w14:paraId="71B3C4B5" w14:textId="77777777" w:rsidR="00652074" w:rsidRDefault="00652074" w:rsidP="00652074">
      <w:pPr>
        <w:numPr>
          <w:ilvl w:val="0"/>
          <w:numId w:val="1"/>
        </w:numPr>
        <w:spacing w:before="120" w:after="0" w:line="240" w:lineRule="auto"/>
        <w:ind w:left="426" w:hanging="426"/>
        <w:contextualSpacing/>
        <w:jc w:val="both"/>
        <w:outlineLvl w:val="0"/>
        <w:rPr>
          <w:rFonts w:ascii="Times New Roman" w:eastAsia="Calibri" w:hAnsi="Times New Roman" w:cs="Times New Roman"/>
          <w:b/>
          <w:sz w:val="24"/>
          <w:szCs w:val="24"/>
          <w:lang w:bidi="en-US"/>
        </w:rPr>
      </w:pPr>
      <w:bookmarkStart w:id="4" w:name="_Toc510985225"/>
      <w:r>
        <w:rPr>
          <w:rFonts w:ascii="Times New Roman" w:eastAsia="Calibri" w:hAnsi="Times New Roman" w:cs="Times New Roman"/>
          <w:b/>
          <w:sz w:val="24"/>
          <w:szCs w:val="24"/>
          <w:lang w:bidi="en-US"/>
        </w:rPr>
        <w:t xml:space="preserve">Kaupade kvaliteet </w:t>
      </w:r>
    </w:p>
    <w:p w14:paraId="39B93CC4" w14:textId="5B9BD23E" w:rsidR="00652074" w:rsidRPr="00652074" w:rsidRDefault="00652074" w:rsidP="00652074">
      <w:pPr>
        <w:pStyle w:val="HD2"/>
        <w:rPr>
          <w:rFonts w:eastAsia="Calibri"/>
          <w:b/>
          <w:lang w:bidi="en-US"/>
        </w:rPr>
      </w:pPr>
      <w:r w:rsidRPr="00652074">
        <w:rPr>
          <w:rFonts w:eastAsia="Calibri"/>
          <w:lang w:bidi="en-US"/>
        </w:rPr>
        <w:t xml:space="preserve">Müüja tagab, et Lepingu alusel Ostjale müüdav kaup on kõrgekvaliteediline ja vastab kõikidele Lepingu punktis </w:t>
      </w:r>
      <w:r w:rsidRPr="0072184F">
        <w:rPr>
          <w:rFonts w:eastAsia="Calibri"/>
          <w:lang w:bidi="en-US"/>
        </w:rPr>
        <w:t>1.3 nimetatud</w:t>
      </w:r>
      <w:r w:rsidRPr="00652074">
        <w:rPr>
          <w:rFonts w:eastAsia="Calibri"/>
          <w:lang w:bidi="en-US"/>
        </w:rPr>
        <w:t xml:space="preserve"> dokumentidest tulenevatele tingimustele. Müüdavate kaupade kvaliteet, pakendamine ning transportimine peab vastama nii Poolte vahel kokkulepitud kui ka riiklikult kehtestatud standarditele ja sedalaadi kaupade müümise ning tarnimise heale tavale. </w:t>
      </w:r>
    </w:p>
    <w:p w14:paraId="276747A0" w14:textId="77777777" w:rsidR="00652074" w:rsidRPr="00652074" w:rsidRDefault="00652074" w:rsidP="00652074">
      <w:pPr>
        <w:pStyle w:val="HD2"/>
        <w:rPr>
          <w:rFonts w:eastAsia="Calibri"/>
          <w:b/>
          <w:lang w:bidi="en-US"/>
        </w:rPr>
      </w:pPr>
      <w:r w:rsidRPr="00652074">
        <w:rPr>
          <w:rFonts w:eastAsia="Calibri"/>
          <w:bCs/>
          <w:lang w:bidi="en-US"/>
        </w:rPr>
        <w:t>Müüja kohustub lisama kaubale saatelehed, millel on näidatud kauba nimetused, kogused ja hind ning seadusandlusest tulenevate nõuete kohaselt ja juhtudel kvaliteeditõendid või sertifikaadid. Saatelehed ja kvaliteeditõendid või sertifikaadid antakse üle Ostjale koos kaubaga.</w:t>
      </w:r>
    </w:p>
    <w:p w14:paraId="7E7AE794" w14:textId="77777777" w:rsidR="00652074" w:rsidRPr="00652074" w:rsidRDefault="00652074" w:rsidP="00652074">
      <w:pPr>
        <w:pStyle w:val="HD2"/>
        <w:rPr>
          <w:rFonts w:eastAsia="Calibri"/>
          <w:b/>
          <w:lang w:bidi="en-US"/>
        </w:rPr>
      </w:pPr>
      <w:r w:rsidRPr="00652074">
        <w:rPr>
          <w:rFonts w:eastAsia="Calibri"/>
          <w:bCs/>
          <w:lang w:bidi="en-US"/>
        </w:rPr>
        <w:t>Müüja tagab igakülgse informatsiooni pakutavate kaupade kohta vastavuses õigusaktides ja riigihanke hanketingimustes esitatud nõuetele.</w:t>
      </w:r>
    </w:p>
    <w:p w14:paraId="19917412" w14:textId="77777777" w:rsidR="00652074" w:rsidRPr="00652074" w:rsidRDefault="00652074" w:rsidP="00652074">
      <w:pPr>
        <w:pStyle w:val="HD2"/>
        <w:rPr>
          <w:rFonts w:eastAsia="Calibri"/>
          <w:b/>
          <w:lang w:bidi="en-US"/>
        </w:rPr>
      </w:pPr>
      <w:r w:rsidRPr="00652074">
        <w:rPr>
          <w:rFonts w:eastAsia="Calibri"/>
          <w:bCs/>
          <w:lang w:bidi="en-US"/>
        </w:rPr>
        <w:t>Juhul kui Müüjal puudub Ostja tellimuse objektiks olev kaup tellimuse esitamise ajahetkel laost on Müüja kohustatud sellest viivitamatult Ostja esindajat vähemalt kirjalikku taasesitamist võimaldavas vormis teavitama ning otsima ja pakkuma Ostjale aktiivselt asenduslahendusi (asendustoodet) kuni pakkumuse kohase originaalkauba tarnevõimekuse taastumiseni. Juhul kui Müüja ei suuda tagada Ostjale sobivat asendustoodet või ei tee seda mõistliku aja jooksul, kohustub ta  hüvitama Ostjale soovitud kauba kolmandalt isikult tellimise vajadusest tingitud võimaliku hinnavahe ja võimaliku asendustoote otsimise ning tarnega kaasnevad lisakulud.</w:t>
      </w:r>
    </w:p>
    <w:p w14:paraId="33B1D4FA" w14:textId="77777777" w:rsidR="00652074" w:rsidRPr="00652074" w:rsidRDefault="00652074" w:rsidP="00652074">
      <w:pPr>
        <w:pStyle w:val="HD2"/>
        <w:rPr>
          <w:rFonts w:eastAsia="Calibri"/>
          <w:b/>
          <w:lang w:bidi="en-US"/>
        </w:rPr>
      </w:pPr>
      <w:r w:rsidRPr="00652074">
        <w:rPr>
          <w:rFonts w:eastAsia="Calibri"/>
          <w:bCs/>
          <w:lang w:bidi="en-US"/>
        </w:rPr>
        <w:t>Juhul, kui Ostja avastab kauba mittekvaliteetsuse või kauba mittevastavuse Lepingule, peab Ostja teatama sellest Müüjale esimesel võimalusel. Võimaluse korral teavitab Ostja Müüjat avastatud puudusest hiljemalt 24 tunni jooksul alates puuduse tuvastamisest.</w:t>
      </w:r>
    </w:p>
    <w:p w14:paraId="164208DA" w14:textId="77777777" w:rsidR="00652074" w:rsidRDefault="00652074" w:rsidP="00652074">
      <w:pPr>
        <w:pStyle w:val="HD2"/>
        <w:rPr>
          <w:rFonts w:eastAsia="Calibri"/>
          <w:b/>
          <w:lang w:bidi="en-US"/>
        </w:rPr>
      </w:pPr>
      <w:r w:rsidRPr="00652074">
        <w:rPr>
          <w:rFonts w:eastAsia="Calibri"/>
          <w:bCs/>
          <w:lang w:bidi="en-US"/>
        </w:rPr>
        <w:t>Mittekvaliteetse kauba tarnimisel on Müüja kohustatud Ostja nõudmisel kas:</w:t>
      </w:r>
    </w:p>
    <w:p w14:paraId="2FF4A6F1" w14:textId="77777777" w:rsidR="00652074" w:rsidRPr="00652074" w:rsidRDefault="00652074" w:rsidP="00345D41">
      <w:pPr>
        <w:pStyle w:val="HD2"/>
        <w:numPr>
          <w:ilvl w:val="2"/>
          <w:numId w:val="1"/>
        </w:numPr>
        <w:ind w:left="851" w:hanging="567"/>
        <w:rPr>
          <w:rFonts w:eastAsia="Calibri"/>
          <w:b/>
          <w:lang w:bidi="en-US"/>
        </w:rPr>
      </w:pPr>
      <w:r w:rsidRPr="00652074">
        <w:rPr>
          <w:rFonts w:eastAsia="Calibri"/>
          <w:bCs/>
          <w:lang w:bidi="en-US"/>
        </w:rPr>
        <w:lastRenderedPageBreak/>
        <w:t>Vahetama mittekvaliteetse kauba oma kulul ümber vastava kvaliteediga kauba vastu kokkulepitud tähtaja jooksul või selle võimatuse korral väljastama kreeditarve, välja arvatud juhul kui kauba ebakvaliteetsus on põhjustatud Ostjast tulenevatest asjaoludest. Juhul, kui kaupa ei ole võimalik välja vahetada, on Ostjal õigus vastav kaup hankida kolmandatelt isikutelt ning nõuda müüjalt sellega seonduva hinnavahe hüvitamist vastavalt lepingule;</w:t>
      </w:r>
    </w:p>
    <w:p w14:paraId="57E136DA" w14:textId="77777777" w:rsidR="00652074" w:rsidRPr="00652074" w:rsidRDefault="00652074" w:rsidP="00345D41">
      <w:pPr>
        <w:pStyle w:val="HD2"/>
        <w:numPr>
          <w:ilvl w:val="2"/>
          <w:numId w:val="1"/>
        </w:numPr>
        <w:ind w:left="851" w:hanging="567"/>
        <w:rPr>
          <w:rFonts w:eastAsia="Calibri"/>
          <w:b/>
          <w:lang w:bidi="en-US"/>
        </w:rPr>
      </w:pPr>
      <w:r w:rsidRPr="00652074">
        <w:rPr>
          <w:rFonts w:eastAsia="Calibri"/>
          <w:bCs/>
          <w:lang w:bidi="en-US"/>
        </w:rPr>
        <w:t xml:space="preserve">Alandama kokkuleppel Ostjaga vastavalt kauba maksumust. </w:t>
      </w:r>
    </w:p>
    <w:p w14:paraId="52874C02" w14:textId="395269F1" w:rsidR="00652074" w:rsidRPr="00652074" w:rsidRDefault="00652074" w:rsidP="00652074">
      <w:pPr>
        <w:pStyle w:val="HD2"/>
        <w:rPr>
          <w:rFonts w:eastAsia="Calibri"/>
          <w:b/>
          <w:lang w:bidi="en-US"/>
        </w:rPr>
      </w:pPr>
      <w:r w:rsidRPr="00652074">
        <w:rPr>
          <w:rFonts w:eastAsia="Calibri"/>
          <w:lang w:bidi="en-US"/>
        </w:rPr>
        <w:t>Vastutus kauba säilimise eest läheb üle kauba üleandmisel Ostjale kui Poolte kokkuleppest ei tulene teisiti. Kui kaupa ei saa üle anda vastavalt kokkulepitud tarneajale ja see on tingitud Ostjast või Ostjast vahetult sõltuvuses olevatest asjaoludest, läheb vastutus kauba säilimise eest üle Ostjale hetkest, kui Müüja on teinud endast kõik, mida ta vastavalt lepingule pidi tegema kauba üleandmiseks.</w:t>
      </w:r>
    </w:p>
    <w:p w14:paraId="3A95788D" w14:textId="1666EA60" w:rsidR="001A7C2D" w:rsidRDefault="001A7C2D" w:rsidP="001A7C2D">
      <w:pPr>
        <w:numPr>
          <w:ilvl w:val="0"/>
          <w:numId w:val="1"/>
        </w:numPr>
        <w:spacing w:before="120" w:after="0" w:line="240" w:lineRule="auto"/>
        <w:ind w:left="426" w:hanging="426"/>
        <w:contextualSpacing/>
        <w:jc w:val="both"/>
        <w:outlineLvl w:val="0"/>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Kaupade transport ja üleandmine</w:t>
      </w:r>
    </w:p>
    <w:p w14:paraId="6BCEF6DB" w14:textId="77777777" w:rsidR="001A7C2D" w:rsidRPr="001A7C2D" w:rsidRDefault="001A7C2D" w:rsidP="001A7C2D">
      <w:pPr>
        <w:pStyle w:val="HD2"/>
        <w:rPr>
          <w:rFonts w:eastAsia="Calibri"/>
          <w:b/>
          <w:lang w:bidi="en-US"/>
        </w:rPr>
      </w:pPr>
      <w:r w:rsidRPr="001A7C2D">
        <w:rPr>
          <w:rFonts w:eastAsia="Calibri"/>
          <w:lang w:bidi="en-US"/>
        </w:rPr>
        <w:t xml:space="preserve">Kaupade transport Müüjalt Ostjale toimub Müüja korraldusel ning on Ostjale tasuta. </w:t>
      </w:r>
    </w:p>
    <w:p w14:paraId="332061C8" w14:textId="77777777" w:rsidR="001A7C2D" w:rsidRPr="001A7C2D" w:rsidRDefault="001A7C2D" w:rsidP="001A7C2D">
      <w:pPr>
        <w:pStyle w:val="HD2"/>
        <w:rPr>
          <w:rFonts w:eastAsia="Calibri"/>
          <w:b/>
          <w:lang w:bidi="en-US"/>
        </w:rPr>
      </w:pPr>
      <w:r w:rsidRPr="001A7C2D">
        <w:rPr>
          <w:rFonts w:eastAsia="Calibri"/>
          <w:bCs/>
          <w:lang w:bidi="en-US"/>
        </w:rPr>
        <w:t>Mõlemad Pooled kinnitavad, et nendega töölepingulises või töövõtulepingulises suhtes olevad isikud, kes kinnitavad kaupade üleandmist-vastuvõtmist arve-saatelehtedel, omavad selleks volitusi ilma täiendavat volikirja ette näitamata.</w:t>
      </w:r>
    </w:p>
    <w:p w14:paraId="03F8F8E1" w14:textId="77777777" w:rsidR="001A7C2D" w:rsidRPr="001A7C2D" w:rsidRDefault="001A7C2D" w:rsidP="001A7C2D">
      <w:pPr>
        <w:pStyle w:val="HD2"/>
        <w:rPr>
          <w:rFonts w:eastAsia="Calibri"/>
          <w:b/>
          <w:lang w:bidi="en-US"/>
        </w:rPr>
      </w:pPr>
      <w:r w:rsidRPr="001A7C2D">
        <w:rPr>
          <w:rFonts w:eastAsia="Calibri"/>
          <w:bCs/>
          <w:lang w:bidi="en-US"/>
        </w:rPr>
        <w:t xml:space="preserve">Müüja tagab kauba transportimise kauba tootja kehtestatud hoiutingimustel, samuti võtab kasutusele meetmed, mis välistavad kauba purunemise, saastumise ja sattumise kõrvaliste isikute valdusesse. Müüja tagab Ostja nõudmisel kauba tarnimise ostjale tootja originaalpakendites (kast, plokk, alus jmt), et vältida kauba kahjustumist ümberpakkimise käigus, kui Ostja tellimus on vähemalt võrdne tootja originaalpakendites olevate pakendite arvuga. </w:t>
      </w:r>
    </w:p>
    <w:p w14:paraId="4960A2FF" w14:textId="77777777" w:rsidR="001A7C2D" w:rsidRPr="001A7C2D" w:rsidRDefault="001A7C2D" w:rsidP="001A7C2D">
      <w:pPr>
        <w:pStyle w:val="HD2"/>
        <w:rPr>
          <w:rFonts w:eastAsia="Calibri"/>
          <w:b/>
          <w:lang w:bidi="en-US"/>
        </w:rPr>
      </w:pPr>
      <w:r w:rsidRPr="001A7C2D">
        <w:rPr>
          <w:rFonts w:eastAsia="Calibri"/>
          <w:bCs/>
          <w:lang w:bidi="en-US"/>
        </w:rPr>
        <w:t>Kaup antakse üle markeeritult, pakendatult ja saatedokumendiga. Müüja markeerib ja pakib kauba transportimiseks vastavalt markeerimis- ja pakkimisnõuetele, mis tagavad kauba nõuetekohase säilimise ja turvalisuse transportimise käigus kuni kauba üle andmiseni haiglaapteeki.</w:t>
      </w:r>
    </w:p>
    <w:p w14:paraId="49BA89C9" w14:textId="77777777" w:rsidR="001A7C2D" w:rsidRPr="001A7C2D" w:rsidRDefault="001A7C2D" w:rsidP="001A7C2D">
      <w:pPr>
        <w:pStyle w:val="HD2"/>
        <w:rPr>
          <w:rFonts w:eastAsia="Calibri"/>
          <w:b/>
          <w:lang w:bidi="en-US"/>
        </w:rPr>
      </w:pPr>
      <w:r w:rsidRPr="001A7C2D">
        <w:rPr>
          <w:rFonts w:eastAsia="Calibri"/>
          <w:bCs/>
          <w:lang w:bidi="en-US"/>
        </w:rPr>
        <w:t>Kauba pakend peab olema terve, vastama pakendiseaduse nõuetele ning ei tohi kanda eksitavat informatsiooni.</w:t>
      </w:r>
    </w:p>
    <w:p w14:paraId="0A8E016E" w14:textId="5116BB72" w:rsidR="001A7C2D" w:rsidRPr="001A7C2D" w:rsidRDefault="001A7C2D" w:rsidP="001A7C2D">
      <w:pPr>
        <w:pStyle w:val="HD2"/>
        <w:rPr>
          <w:rFonts w:eastAsia="Calibri"/>
          <w:b/>
          <w:lang w:bidi="en-US"/>
        </w:rPr>
      </w:pPr>
      <w:r w:rsidRPr="001A7C2D">
        <w:rPr>
          <w:rFonts w:eastAsia="Calibri"/>
          <w:bCs/>
          <w:lang w:bidi="en-US"/>
        </w:rPr>
        <w:t>Saatedokumendil peab olema märgitud iga selle saatedokumendiga tarnitava kaubaliigi nimetus</w:t>
      </w:r>
      <w:r w:rsidR="006F2087">
        <w:rPr>
          <w:rFonts w:eastAsia="Calibri"/>
          <w:bCs/>
          <w:lang w:bidi="en-US"/>
        </w:rPr>
        <w:t xml:space="preserve">, </w:t>
      </w:r>
      <w:r w:rsidRPr="001A7C2D">
        <w:rPr>
          <w:rFonts w:eastAsia="Calibri"/>
          <w:bCs/>
          <w:lang w:bidi="en-US"/>
        </w:rPr>
        <w:t>aegumistähtaeg, tootja, kogus, hind ja käibemaksu määr.</w:t>
      </w:r>
    </w:p>
    <w:p w14:paraId="53DA336E" w14:textId="77777777" w:rsidR="001A7C2D" w:rsidRPr="001A7C2D" w:rsidRDefault="001A7C2D" w:rsidP="001A7C2D">
      <w:pPr>
        <w:pStyle w:val="HD2"/>
        <w:rPr>
          <w:rFonts w:eastAsia="Calibri"/>
          <w:b/>
          <w:lang w:bidi="en-US"/>
        </w:rPr>
      </w:pPr>
      <w:r w:rsidRPr="001A7C2D">
        <w:rPr>
          <w:rFonts w:eastAsia="Calibri"/>
          <w:bCs/>
          <w:lang w:bidi="en-US"/>
        </w:rPr>
        <w:t>Koos kaubaga antakse ostjale kauba juurde kuuluvad dokumendid vastavalt kehtivates õigusaktides sätestatud nõuetele.</w:t>
      </w:r>
    </w:p>
    <w:p w14:paraId="2A7FCB14" w14:textId="77777777" w:rsidR="001A7C2D" w:rsidRPr="001A7C2D" w:rsidRDefault="001A7C2D" w:rsidP="001A7C2D">
      <w:pPr>
        <w:pStyle w:val="HD2"/>
        <w:rPr>
          <w:rFonts w:eastAsia="Calibri"/>
          <w:b/>
          <w:lang w:bidi="en-US"/>
        </w:rPr>
      </w:pPr>
      <w:r w:rsidRPr="001A7C2D">
        <w:rPr>
          <w:rFonts w:eastAsia="Calibri"/>
          <w:bCs/>
          <w:lang w:bidi="en-US"/>
        </w:rPr>
        <w:t>Kauba vastuvõtmisel kontrollib Ostja kauba koguselist vastavust kauba saatedokumentide järgi, pakendit ja kauba transpordikahjustuste puudumist. Müüja vastutab ka selliste kauba transportimisest ja/või pakendamise vigadest tingitud puuduste eest, milliseid ei olnud kauba vastuvõtmisel Ostjal võimalik pakendi visuaalsel välisvaatlusel tuvastada.</w:t>
      </w:r>
    </w:p>
    <w:p w14:paraId="2C96BD40" w14:textId="77777777" w:rsidR="001A7C2D" w:rsidRPr="001A7C2D" w:rsidRDefault="001A7C2D" w:rsidP="001A7C2D">
      <w:pPr>
        <w:pStyle w:val="HD2"/>
        <w:rPr>
          <w:rFonts w:eastAsia="Calibri"/>
          <w:b/>
          <w:lang w:bidi="en-US"/>
        </w:rPr>
      </w:pPr>
      <w:r w:rsidRPr="001A7C2D">
        <w:rPr>
          <w:rFonts w:eastAsia="Calibri"/>
          <w:bCs/>
          <w:lang w:bidi="en-US"/>
        </w:rPr>
        <w:t>Ostja on kohustatud hoidma kauba mahalaadimise juurdepääsu vaba ja puhtana ning talvel teostama vajadusel libedusetõrje.</w:t>
      </w:r>
    </w:p>
    <w:p w14:paraId="1BBC6132" w14:textId="73700C5A" w:rsidR="001A7C2D" w:rsidRPr="001A7C2D" w:rsidRDefault="001A7C2D" w:rsidP="001A7C2D">
      <w:pPr>
        <w:pStyle w:val="HD2"/>
        <w:rPr>
          <w:rFonts w:eastAsia="Calibri"/>
          <w:b/>
          <w:lang w:bidi="en-US"/>
        </w:rPr>
      </w:pPr>
      <w:r w:rsidRPr="001A7C2D">
        <w:rPr>
          <w:rFonts w:eastAsia="Calibri"/>
          <w:bCs/>
          <w:lang w:bidi="en-US"/>
        </w:rPr>
        <w:t>Kauba tarnel peab Müüja arvestama tarnekoha igakordse liikluskorralduse ja peatumise ning parkimise reeglite ja nõuetega. Käesolevast punktist tulenev nõue kehtib ka võimalikele Müüja alltöövõtjatele või muul õiguslikul alusel tarneteenust osutavale koostööpartnerile.</w:t>
      </w:r>
    </w:p>
    <w:p w14:paraId="03EBE667" w14:textId="467887A4" w:rsidR="002141A9" w:rsidRPr="00E61D20" w:rsidRDefault="002141A9" w:rsidP="002141A9">
      <w:pPr>
        <w:numPr>
          <w:ilvl w:val="0"/>
          <w:numId w:val="1"/>
        </w:numPr>
        <w:spacing w:before="120" w:after="0" w:line="240" w:lineRule="auto"/>
        <w:ind w:left="426" w:hanging="426"/>
        <w:contextualSpacing/>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lastRenderedPageBreak/>
        <w:t>Poolte vastutus Lepingu rikkumisel</w:t>
      </w:r>
      <w:bookmarkEnd w:id="4"/>
    </w:p>
    <w:p w14:paraId="0BF2AAD4" w14:textId="7176D711" w:rsidR="002141A9" w:rsidRPr="00E61D20" w:rsidRDefault="002141A9" w:rsidP="00FB44A0">
      <w:pPr>
        <w:numPr>
          <w:ilvl w:val="1"/>
          <w:numId w:val="1"/>
        </w:numPr>
        <w:spacing w:before="120" w:after="0" w:line="240" w:lineRule="auto"/>
        <w:ind w:left="567" w:hanging="425"/>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ar-SA"/>
        </w:rPr>
        <w:t xml:space="preserve">Juhul, kui Ostja viivitab </w:t>
      </w:r>
      <w:r w:rsidR="001F7B77">
        <w:rPr>
          <w:rFonts w:ascii="Times New Roman" w:eastAsia="Times New Roman" w:hAnsi="Times New Roman" w:cs="Times New Roman"/>
          <w:sz w:val="24"/>
          <w:szCs w:val="24"/>
          <w:lang w:eastAsia="ar-SA"/>
        </w:rPr>
        <w:t>s</w:t>
      </w:r>
      <w:r>
        <w:rPr>
          <w:rFonts w:ascii="Times New Roman" w:eastAsia="Times New Roman" w:hAnsi="Times New Roman" w:cs="Times New Roman"/>
          <w:sz w:val="24"/>
          <w:szCs w:val="24"/>
          <w:lang w:eastAsia="ar-SA"/>
        </w:rPr>
        <w:t>eadme</w:t>
      </w:r>
      <w:r w:rsidRPr="00E61D20">
        <w:rPr>
          <w:rFonts w:ascii="Times New Roman" w:eastAsia="Times New Roman" w:hAnsi="Times New Roman" w:cs="Times New Roman"/>
          <w:sz w:val="24"/>
          <w:szCs w:val="24"/>
          <w:lang w:val="x-none" w:eastAsia="ar-SA"/>
        </w:rPr>
        <w:t xml:space="preserve"> eest tasumisega, on Müüjal õigus nõuda Ostjalt viiviseintressi (viivist) 0,15% päevas tähtaegselt tasumata summast.</w:t>
      </w:r>
    </w:p>
    <w:p w14:paraId="77903D56" w14:textId="11714479" w:rsidR="002141A9" w:rsidRPr="00E61D20" w:rsidRDefault="002141A9" w:rsidP="00FB44A0">
      <w:pPr>
        <w:numPr>
          <w:ilvl w:val="1"/>
          <w:numId w:val="1"/>
        </w:numPr>
        <w:spacing w:before="120" w:after="0" w:line="240" w:lineRule="auto"/>
        <w:ind w:left="567" w:hanging="425"/>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ar-SA"/>
        </w:rPr>
        <w:t xml:space="preserve">Juhul, kui Müüja viivitab </w:t>
      </w:r>
      <w:r w:rsidR="001F7B77">
        <w:rPr>
          <w:rFonts w:ascii="Times New Roman" w:eastAsia="Times New Roman" w:hAnsi="Times New Roman" w:cs="Times New Roman"/>
          <w:sz w:val="24"/>
          <w:szCs w:val="24"/>
          <w:lang w:eastAsia="ar-SA"/>
        </w:rPr>
        <w:t>s</w:t>
      </w:r>
      <w:r>
        <w:rPr>
          <w:rFonts w:ascii="Times New Roman" w:eastAsia="Times New Roman" w:hAnsi="Times New Roman" w:cs="Times New Roman"/>
          <w:sz w:val="24"/>
          <w:szCs w:val="24"/>
          <w:lang w:eastAsia="ar-SA"/>
        </w:rPr>
        <w:t xml:space="preserve">eadme </w:t>
      </w:r>
      <w:r w:rsidRPr="00E61D20">
        <w:rPr>
          <w:rFonts w:ascii="Times New Roman" w:eastAsia="Times New Roman" w:hAnsi="Times New Roman" w:cs="Times New Roman"/>
          <w:sz w:val="24"/>
          <w:szCs w:val="24"/>
          <w:lang w:val="x-none" w:eastAsia="ar-SA"/>
        </w:rPr>
        <w:t xml:space="preserve">üleandmisega </w:t>
      </w:r>
      <w:r w:rsidRPr="00E61D20">
        <w:rPr>
          <w:rFonts w:ascii="Times New Roman" w:eastAsia="Times New Roman" w:hAnsi="Times New Roman" w:cs="Times New Roman"/>
          <w:sz w:val="24"/>
          <w:szCs w:val="24"/>
          <w:lang w:val="x-none" w:eastAsia="x-none"/>
        </w:rPr>
        <w:t>Ostjale</w:t>
      </w:r>
      <w:r w:rsidRPr="00E61D20">
        <w:rPr>
          <w:rFonts w:ascii="Times New Roman" w:eastAsia="Times New Roman" w:hAnsi="Times New Roman" w:cs="Times New Roman"/>
          <w:sz w:val="24"/>
          <w:szCs w:val="24"/>
          <w:lang w:val="x-none" w:eastAsia="ar-SA"/>
        </w:rPr>
        <w:t xml:space="preserve">, on Ostjal õigus nõuda Müüjalt leppetrahvi 0,15% päevas üleandmisega viivitatud </w:t>
      </w:r>
      <w:r w:rsidR="001F7B77">
        <w:rPr>
          <w:rFonts w:ascii="Times New Roman" w:eastAsia="Times New Roman" w:hAnsi="Times New Roman" w:cs="Times New Roman"/>
          <w:sz w:val="24"/>
          <w:szCs w:val="24"/>
          <w:lang w:eastAsia="ar-SA"/>
        </w:rPr>
        <w:t>s</w:t>
      </w:r>
      <w:r>
        <w:rPr>
          <w:rFonts w:ascii="Times New Roman" w:eastAsia="Times New Roman" w:hAnsi="Times New Roman" w:cs="Times New Roman"/>
          <w:sz w:val="24"/>
          <w:szCs w:val="24"/>
          <w:lang w:eastAsia="ar-SA"/>
        </w:rPr>
        <w:t>eadme</w:t>
      </w:r>
      <w:r w:rsidRPr="00E61D20">
        <w:rPr>
          <w:rFonts w:ascii="Times New Roman" w:eastAsia="Times New Roman" w:hAnsi="Times New Roman" w:cs="Times New Roman"/>
          <w:sz w:val="24"/>
          <w:szCs w:val="24"/>
          <w:lang w:val="x-none" w:eastAsia="ar-SA"/>
        </w:rPr>
        <w:t xml:space="preserve"> maksumusest</w:t>
      </w:r>
      <w:r w:rsidRPr="00E61D20">
        <w:rPr>
          <w:rFonts w:ascii="Times New Roman" w:eastAsia="Times New Roman" w:hAnsi="Times New Roman" w:cs="Times New Roman"/>
          <w:sz w:val="24"/>
          <w:szCs w:val="24"/>
          <w:lang w:val="x-none" w:eastAsia="x-none"/>
        </w:rPr>
        <w:t>.</w:t>
      </w:r>
    </w:p>
    <w:p w14:paraId="738E0087" w14:textId="2B8DF903" w:rsidR="002141A9" w:rsidRPr="00E61D20" w:rsidRDefault="002141A9" w:rsidP="00FB44A0">
      <w:pPr>
        <w:numPr>
          <w:ilvl w:val="1"/>
          <w:numId w:val="1"/>
        </w:numPr>
        <w:spacing w:before="120" w:after="0" w:line="240" w:lineRule="auto"/>
        <w:ind w:left="567" w:hanging="425"/>
        <w:jc w:val="both"/>
        <w:rPr>
          <w:rFonts w:ascii="Times New Roman" w:eastAsia="Times New Roman" w:hAnsi="Times New Roman" w:cs="Times New Roman"/>
          <w:sz w:val="24"/>
          <w:szCs w:val="24"/>
          <w:lang w:val="x-none" w:eastAsia="x-none"/>
        </w:rPr>
      </w:pPr>
      <w:r w:rsidRPr="004D024C">
        <w:rPr>
          <w:rFonts w:ascii="Times New Roman" w:eastAsia="Times New Roman" w:hAnsi="Times New Roman" w:cs="Times New Roman"/>
          <w:sz w:val="24"/>
          <w:szCs w:val="24"/>
          <w:lang w:val="x-none" w:eastAsia="x-none"/>
        </w:rPr>
        <w:t xml:space="preserve">Juhul, kui Müüja ei pea </w:t>
      </w:r>
      <w:r w:rsidRPr="008F2F9E">
        <w:rPr>
          <w:rFonts w:ascii="Times New Roman" w:eastAsia="Times New Roman" w:hAnsi="Times New Roman" w:cs="Times New Roman"/>
          <w:sz w:val="24"/>
          <w:szCs w:val="24"/>
          <w:lang w:val="x-none" w:eastAsia="x-none"/>
        </w:rPr>
        <w:t>kinni Lepingu p</w:t>
      </w:r>
      <w:r w:rsidR="00C5423F" w:rsidRPr="008F2F9E">
        <w:rPr>
          <w:rFonts w:ascii="Times New Roman" w:eastAsia="Times New Roman" w:hAnsi="Times New Roman" w:cs="Times New Roman"/>
          <w:sz w:val="24"/>
          <w:szCs w:val="24"/>
          <w:lang w:val="x-none" w:eastAsia="x-none"/>
        </w:rPr>
        <w:t xml:space="preserve">unkt </w:t>
      </w:r>
      <w:r w:rsidR="0072184F">
        <w:rPr>
          <w:rFonts w:ascii="Times New Roman" w:eastAsia="Times New Roman" w:hAnsi="Times New Roman" w:cs="Times New Roman"/>
          <w:sz w:val="24"/>
          <w:szCs w:val="24"/>
          <w:lang w:eastAsia="x-none"/>
        </w:rPr>
        <w:t>9</w:t>
      </w:r>
      <w:r w:rsidRPr="008F2F9E">
        <w:rPr>
          <w:rFonts w:ascii="Times New Roman" w:eastAsia="Times New Roman" w:hAnsi="Times New Roman" w:cs="Times New Roman"/>
          <w:sz w:val="24"/>
          <w:szCs w:val="24"/>
          <w:lang w:val="x-none" w:eastAsia="x-none"/>
        </w:rPr>
        <w:t xml:space="preserve"> ja</w:t>
      </w:r>
      <w:r w:rsidRPr="00E61D20">
        <w:rPr>
          <w:rFonts w:ascii="Times New Roman" w:eastAsia="Times New Roman" w:hAnsi="Times New Roman" w:cs="Times New Roman"/>
          <w:sz w:val="24"/>
          <w:szCs w:val="24"/>
          <w:lang w:val="x-none" w:eastAsia="x-none"/>
        </w:rPr>
        <w:t xml:space="preserve"> selle alapunktides seatud tingimustest peab Müüja Ostja nõudel hüvitama Ostjapoolsed kulud, mis on tingitud </w:t>
      </w:r>
      <w:r w:rsidR="001F7B77">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eadme rentimisest mõnelt teiselt müüjalt</w:t>
      </w:r>
      <w:r>
        <w:rPr>
          <w:rFonts w:ascii="Times New Roman" w:eastAsia="Times New Roman" w:hAnsi="Times New Roman" w:cs="Times New Roman"/>
          <w:sz w:val="24"/>
          <w:szCs w:val="24"/>
          <w:lang w:eastAsia="x-none"/>
        </w:rPr>
        <w:t xml:space="preserve"> või kolmandalt isikult</w:t>
      </w:r>
      <w:r w:rsidRPr="00E61D20">
        <w:rPr>
          <w:rFonts w:ascii="Times New Roman" w:eastAsia="Times New Roman" w:hAnsi="Times New Roman" w:cs="Times New Roman"/>
          <w:sz w:val="24"/>
          <w:szCs w:val="24"/>
          <w:lang w:val="x-none" w:eastAsia="x-none"/>
        </w:rPr>
        <w:t xml:space="preserve"> ja maksma leppetrahvi 0,15% </w:t>
      </w:r>
      <w:r w:rsidR="001F7B77">
        <w:rPr>
          <w:rFonts w:ascii="Times New Roman" w:eastAsia="Times New Roman" w:hAnsi="Times New Roman" w:cs="Times New Roman"/>
          <w:sz w:val="24"/>
          <w:szCs w:val="24"/>
          <w:lang w:eastAsia="x-none"/>
        </w:rPr>
        <w:t>s</w:t>
      </w:r>
      <w:r>
        <w:rPr>
          <w:rFonts w:ascii="Times New Roman" w:eastAsia="Times New Roman" w:hAnsi="Times New Roman" w:cs="Times New Roman"/>
          <w:sz w:val="24"/>
          <w:szCs w:val="24"/>
          <w:lang w:eastAsia="x-none"/>
        </w:rPr>
        <w:t>eadme</w:t>
      </w:r>
      <w:r w:rsidRPr="00E61D20">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kogu</w:t>
      </w:r>
      <w:r w:rsidRPr="00E61D20">
        <w:rPr>
          <w:rFonts w:ascii="Times New Roman" w:eastAsia="Times New Roman" w:hAnsi="Times New Roman" w:cs="Times New Roman"/>
          <w:sz w:val="24"/>
          <w:szCs w:val="24"/>
          <w:lang w:val="x-none" w:eastAsia="x-none"/>
        </w:rPr>
        <w:t>maksumusest iga viivitatud päeva eest</w:t>
      </w:r>
      <w:r w:rsidRPr="00E61D20">
        <w:rPr>
          <w:rFonts w:ascii="Times New Roman" w:eastAsia="Times New Roman" w:hAnsi="Times New Roman" w:cs="Times New Roman"/>
          <w:sz w:val="24"/>
          <w:szCs w:val="24"/>
          <w:lang w:eastAsia="x-none"/>
        </w:rPr>
        <w:t>.</w:t>
      </w:r>
    </w:p>
    <w:p w14:paraId="29B737A7" w14:textId="476638D2" w:rsidR="002141A9" w:rsidRPr="00E61D20" w:rsidRDefault="002141A9" w:rsidP="00FB44A0">
      <w:pPr>
        <w:numPr>
          <w:ilvl w:val="1"/>
          <w:numId w:val="1"/>
        </w:numPr>
        <w:spacing w:before="120" w:after="0" w:line="240" w:lineRule="auto"/>
        <w:ind w:left="567" w:hanging="425"/>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 xml:space="preserve">Ostjal on õigus leppetrahvi summa ulatuses teha tasaarveldust </w:t>
      </w:r>
      <w:r w:rsidR="001F7B77">
        <w:rPr>
          <w:rFonts w:ascii="Times New Roman" w:eastAsia="Times New Roman" w:hAnsi="Times New Roman" w:cs="Times New Roman"/>
          <w:sz w:val="24"/>
          <w:szCs w:val="24"/>
          <w:lang w:eastAsia="x-none"/>
        </w:rPr>
        <w:t>s</w:t>
      </w:r>
      <w:r>
        <w:rPr>
          <w:rFonts w:ascii="Times New Roman" w:eastAsia="Times New Roman" w:hAnsi="Times New Roman" w:cs="Times New Roman"/>
          <w:sz w:val="24"/>
          <w:szCs w:val="24"/>
          <w:lang w:eastAsia="x-none"/>
        </w:rPr>
        <w:t>eadme maksumuse ja/</w:t>
      </w:r>
      <w:r w:rsidRPr="00E61D20">
        <w:rPr>
          <w:rFonts w:ascii="Times New Roman" w:eastAsia="Times New Roman" w:hAnsi="Times New Roman" w:cs="Times New Roman"/>
          <w:sz w:val="24"/>
          <w:szCs w:val="24"/>
          <w:lang w:val="x-none" w:eastAsia="x-none"/>
        </w:rPr>
        <w:t xml:space="preserve">või </w:t>
      </w:r>
      <w:r>
        <w:rPr>
          <w:rFonts w:ascii="Times New Roman" w:eastAsia="Times New Roman" w:hAnsi="Times New Roman" w:cs="Times New Roman"/>
          <w:sz w:val="24"/>
          <w:szCs w:val="24"/>
          <w:lang w:eastAsia="x-none"/>
        </w:rPr>
        <w:t>hooldus- ja remondi</w:t>
      </w:r>
      <w:r w:rsidRPr="00E61D20">
        <w:rPr>
          <w:rFonts w:ascii="Times New Roman" w:eastAsia="Times New Roman" w:hAnsi="Times New Roman" w:cs="Times New Roman"/>
          <w:sz w:val="24"/>
          <w:szCs w:val="24"/>
          <w:lang w:val="x-none" w:eastAsia="x-none"/>
        </w:rPr>
        <w:t xml:space="preserve">teenuse eest esitatud arvetest, makstes </w:t>
      </w:r>
      <w:r w:rsidR="001F7B77">
        <w:rPr>
          <w:rFonts w:ascii="Times New Roman" w:eastAsia="Times New Roman" w:hAnsi="Times New Roman" w:cs="Times New Roman"/>
          <w:sz w:val="24"/>
          <w:szCs w:val="24"/>
          <w:lang w:eastAsia="x-none"/>
        </w:rPr>
        <w:t>s</w:t>
      </w:r>
      <w:r>
        <w:rPr>
          <w:rFonts w:ascii="Times New Roman" w:eastAsia="Times New Roman" w:hAnsi="Times New Roman" w:cs="Times New Roman"/>
          <w:sz w:val="24"/>
          <w:szCs w:val="24"/>
          <w:lang w:eastAsia="x-none"/>
        </w:rPr>
        <w:t>eadme</w:t>
      </w:r>
      <w:r w:rsidRPr="00E61D20">
        <w:rPr>
          <w:rFonts w:ascii="Times New Roman" w:eastAsia="Times New Roman" w:hAnsi="Times New Roman" w:cs="Times New Roman"/>
          <w:sz w:val="24"/>
          <w:szCs w:val="24"/>
          <w:lang w:val="x-none" w:eastAsia="x-none"/>
        </w:rPr>
        <w:t xml:space="preserve"> ja/või teenuse eest leppetrahvi summa võrra vähem</w:t>
      </w:r>
      <w:r w:rsidRPr="00E61D20">
        <w:rPr>
          <w:rFonts w:ascii="Times New Roman" w:eastAsia="Times New Roman" w:hAnsi="Times New Roman" w:cs="Times New Roman"/>
          <w:sz w:val="24"/>
          <w:szCs w:val="24"/>
          <w:lang w:eastAsia="x-none"/>
        </w:rPr>
        <w:t>.</w:t>
      </w:r>
    </w:p>
    <w:p w14:paraId="74DEB7D7" w14:textId="77777777" w:rsidR="002141A9" w:rsidRPr="00E61D20" w:rsidRDefault="002141A9" w:rsidP="002141A9">
      <w:pPr>
        <w:numPr>
          <w:ilvl w:val="0"/>
          <w:numId w:val="1"/>
        </w:numPr>
        <w:spacing w:before="120" w:after="0" w:line="240" w:lineRule="auto"/>
        <w:ind w:left="426" w:hanging="426"/>
        <w:jc w:val="both"/>
        <w:rPr>
          <w:rFonts w:ascii="Times New Roman" w:eastAsia="Times New Roman" w:hAnsi="Times New Roman" w:cs="Times New Roman"/>
          <w:sz w:val="24"/>
          <w:szCs w:val="24"/>
          <w:lang w:val="x-none" w:eastAsia="x-none"/>
        </w:rPr>
      </w:pPr>
      <w:bookmarkStart w:id="5" w:name="_Toc510985226"/>
      <w:r w:rsidRPr="00E61D20">
        <w:rPr>
          <w:rFonts w:ascii="Times New Roman" w:eastAsia="Times New Roman" w:hAnsi="Times New Roman" w:cs="Times New Roman"/>
          <w:b/>
          <w:sz w:val="24"/>
          <w:szCs w:val="24"/>
          <w:lang w:val="x-none" w:eastAsia="x-none"/>
        </w:rPr>
        <w:t>Garantii</w:t>
      </w:r>
      <w:bookmarkEnd w:id="5"/>
      <w:r w:rsidRPr="00E61D20">
        <w:rPr>
          <w:rFonts w:ascii="Times New Roman" w:eastAsia="Times New Roman" w:hAnsi="Times New Roman" w:cs="Times New Roman"/>
          <w:b/>
          <w:sz w:val="24"/>
          <w:szCs w:val="24"/>
          <w:lang w:eastAsia="x-none"/>
        </w:rPr>
        <w:t>,</w:t>
      </w:r>
      <w:r w:rsidRPr="00E61D20">
        <w:rPr>
          <w:rFonts w:ascii="Times New Roman" w:eastAsia="Times New Roman" w:hAnsi="Times New Roman" w:cs="Times New Roman"/>
          <w:b/>
          <w:sz w:val="24"/>
          <w:szCs w:val="24"/>
          <w:lang w:val="x-none" w:eastAsia="x-none"/>
        </w:rPr>
        <w:t xml:space="preserve"> </w:t>
      </w:r>
      <w:r w:rsidRPr="00E61D20">
        <w:rPr>
          <w:rFonts w:ascii="Times New Roman" w:eastAsia="Times New Roman" w:hAnsi="Times New Roman" w:cs="Times New Roman"/>
          <w:b/>
          <w:sz w:val="24"/>
          <w:szCs w:val="24"/>
          <w:lang w:eastAsia="x-none"/>
        </w:rPr>
        <w:t>remont ja hooldus</w:t>
      </w:r>
    </w:p>
    <w:p w14:paraId="1F3F9976" w14:textId="6A7D9E7F" w:rsidR="002141A9" w:rsidRPr="00E61D20" w:rsidRDefault="002141A9" w:rsidP="00A71D48">
      <w:pPr>
        <w:numPr>
          <w:ilvl w:val="1"/>
          <w:numId w:val="1"/>
        </w:numPr>
        <w:spacing w:before="120" w:after="0" w:line="240" w:lineRule="auto"/>
        <w:ind w:left="426" w:hanging="426"/>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Üleantava</w:t>
      </w:r>
      <w:r>
        <w:rPr>
          <w:rFonts w:ascii="Times New Roman" w:eastAsia="Times New Roman" w:hAnsi="Times New Roman" w:cs="Times New Roman"/>
          <w:sz w:val="24"/>
          <w:szCs w:val="24"/>
          <w:lang w:eastAsia="x-none"/>
        </w:rPr>
        <w:t>le</w:t>
      </w:r>
      <w:r w:rsidRPr="00E61D20">
        <w:rPr>
          <w:rFonts w:ascii="Times New Roman" w:eastAsia="Times New Roman" w:hAnsi="Times New Roman" w:cs="Times New Roman"/>
          <w:sz w:val="24"/>
          <w:szCs w:val="24"/>
          <w:lang w:val="x-none" w:eastAsia="x-none"/>
        </w:rPr>
        <w:t xml:space="preserve"> </w:t>
      </w:r>
      <w:r w:rsidRPr="00E61D20">
        <w:rPr>
          <w:rFonts w:ascii="Times New Roman" w:eastAsia="Times New Roman" w:hAnsi="Times New Roman" w:cs="Times New Roman"/>
          <w:sz w:val="24"/>
          <w:szCs w:val="24"/>
          <w:lang w:eastAsia="x-none"/>
        </w:rPr>
        <w:t>seadme</w:t>
      </w:r>
      <w:r>
        <w:rPr>
          <w:rFonts w:ascii="Times New Roman" w:eastAsia="Times New Roman" w:hAnsi="Times New Roman" w:cs="Times New Roman"/>
          <w:sz w:val="24"/>
          <w:szCs w:val="24"/>
          <w:lang w:eastAsia="x-none"/>
        </w:rPr>
        <w:t>le</w:t>
      </w:r>
      <w:r w:rsidRPr="00E61D20">
        <w:rPr>
          <w:rFonts w:ascii="Times New Roman" w:eastAsia="Times New Roman" w:hAnsi="Times New Roman" w:cs="Times New Roman"/>
          <w:sz w:val="24"/>
          <w:szCs w:val="24"/>
          <w:lang w:val="x-none" w:eastAsia="x-none"/>
        </w:rPr>
        <w:t xml:space="preserve"> kehtib tootja ja/või </w:t>
      </w:r>
      <w:r>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poolne garantii</w:t>
      </w:r>
      <w:r w:rsidR="00094487">
        <w:rPr>
          <w:rFonts w:ascii="Times New Roman" w:eastAsia="Times New Roman" w:hAnsi="Times New Roman" w:cs="Times New Roman"/>
          <w:sz w:val="24"/>
          <w:szCs w:val="24"/>
          <w:lang w:val="x-none" w:eastAsia="x-none"/>
        </w:rPr>
        <w:t xml:space="preserve"> </w:t>
      </w:r>
      <w:r w:rsidR="00A71D48">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w:t>
      </w:r>
      <w:r>
        <w:rPr>
          <w:rFonts w:ascii="Times New Roman" w:eastAsia="Times New Roman" w:hAnsi="Times New Roman" w:cs="Times New Roman"/>
          <w:b/>
          <w:sz w:val="24"/>
          <w:szCs w:val="24"/>
          <w:lang w:eastAsia="x-none"/>
        </w:rPr>
        <w:t xml:space="preserve"> kalendri</w:t>
      </w:r>
      <w:r w:rsidRPr="00E61D20">
        <w:rPr>
          <w:rFonts w:ascii="Times New Roman" w:eastAsia="Times New Roman" w:hAnsi="Times New Roman" w:cs="Times New Roman"/>
          <w:b/>
          <w:sz w:val="24"/>
          <w:szCs w:val="24"/>
          <w:lang w:val="x-none" w:eastAsia="x-none"/>
        </w:rPr>
        <w:t>kuud</w:t>
      </w:r>
      <w:r w:rsidRPr="00E61D20">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 xml:space="preserve"> </w:t>
      </w:r>
      <w:r w:rsidRPr="00E61D20">
        <w:rPr>
          <w:rFonts w:ascii="Times New Roman" w:eastAsia="Times New Roman" w:hAnsi="Times New Roman" w:cs="Times New Roman"/>
          <w:sz w:val="24"/>
          <w:szCs w:val="24"/>
          <w:lang w:val="x-none" w:eastAsia="x-none"/>
        </w:rPr>
        <w:t>Garantiiperiood algab seadme üleandmise-vastuvõtmise akti allkirjastamise kuupäevast.</w:t>
      </w:r>
      <w:r>
        <w:rPr>
          <w:rFonts w:ascii="Times New Roman" w:eastAsia="Times New Roman" w:hAnsi="Times New Roman" w:cs="Times New Roman"/>
          <w:sz w:val="24"/>
          <w:szCs w:val="24"/>
          <w:lang w:eastAsia="x-none"/>
        </w:rPr>
        <w:t xml:space="preserve"> Garantii ei laiene Ostja süülisest tegevusest või raskest hooletusest tingitud riketele nagu ka seadme tavapärase kasutamisega kaasnevale mehaanilisele kulumisele</w:t>
      </w:r>
    </w:p>
    <w:p w14:paraId="65EEFC23" w14:textId="77777777" w:rsidR="002141A9" w:rsidRPr="00E61D20" w:rsidRDefault="002141A9" w:rsidP="00A71D48">
      <w:pPr>
        <w:numPr>
          <w:ilvl w:val="1"/>
          <w:numId w:val="1"/>
        </w:numPr>
        <w:spacing w:before="120" w:after="0" w:line="240" w:lineRule="auto"/>
        <w:ind w:left="426" w:hanging="426"/>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Garantiiperioodil teostab Müüja hooldus- ja remonttööd ning tagab kõik varuosad omal kulul. </w:t>
      </w:r>
      <w:r>
        <w:rPr>
          <w:rFonts w:ascii="Times New Roman" w:eastAsia="Calibri" w:hAnsi="Times New Roman" w:cs="Times New Roman"/>
          <w:sz w:val="24"/>
          <w:szCs w:val="24"/>
          <w:lang w:bidi="en-US"/>
        </w:rPr>
        <w:t xml:space="preserve">Seadme </w:t>
      </w:r>
      <w:r w:rsidRPr="00E61D20">
        <w:rPr>
          <w:rFonts w:ascii="Times New Roman" w:eastAsia="Calibri" w:hAnsi="Times New Roman" w:cs="Times New Roman"/>
          <w:sz w:val="24"/>
          <w:szCs w:val="24"/>
          <w:lang w:bidi="en-US"/>
        </w:rPr>
        <w:t>tootja poolt välja antud seadme tarkvarauuendused ja seadme parendused (</w:t>
      </w:r>
      <w:r w:rsidRPr="00E61D20">
        <w:rPr>
          <w:rFonts w:ascii="Times New Roman" w:eastAsia="Calibri" w:hAnsi="Times New Roman" w:cs="Times New Roman"/>
          <w:i/>
          <w:sz w:val="24"/>
          <w:szCs w:val="24"/>
          <w:lang w:bidi="en-US"/>
        </w:rPr>
        <w:t>performance update</w:t>
      </w:r>
      <w:r w:rsidRPr="00E61D20">
        <w:rPr>
          <w:rFonts w:ascii="Times New Roman" w:eastAsia="Calibri" w:hAnsi="Times New Roman" w:cs="Times New Roman"/>
          <w:sz w:val="24"/>
          <w:szCs w:val="24"/>
          <w:lang w:bidi="en-US"/>
        </w:rPr>
        <w:t>) on Ostja jaoks tasuta koos paigalduse</w:t>
      </w:r>
      <w:r>
        <w:rPr>
          <w:rFonts w:ascii="Times New Roman" w:eastAsia="Calibri" w:hAnsi="Times New Roman" w:cs="Times New Roman"/>
          <w:sz w:val="24"/>
          <w:szCs w:val="24"/>
          <w:lang w:bidi="en-US"/>
        </w:rPr>
        <w:t xml:space="preserve"> ja vajadusel asjakohase koolituse teostamisega</w:t>
      </w:r>
      <w:r w:rsidRPr="00E61D20">
        <w:rPr>
          <w:rFonts w:ascii="Times New Roman" w:eastAsia="Calibri" w:hAnsi="Times New Roman" w:cs="Times New Roman"/>
          <w:sz w:val="24"/>
          <w:szCs w:val="24"/>
          <w:lang w:bidi="en-US"/>
        </w:rPr>
        <w:t>.</w:t>
      </w:r>
    </w:p>
    <w:p w14:paraId="1C4BB45E" w14:textId="77777777" w:rsidR="002141A9" w:rsidRPr="00E61D20" w:rsidRDefault="002141A9" w:rsidP="00A71D48">
      <w:pPr>
        <w:pStyle w:val="HD2"/>
        <w:ind w:left="426" w:hanging="426"/>
      </w:pPr>
      <w:r w:rsidRPr="00E61D20">
        <w:t xml:space="preserve">Teeninduse, hoolduse ja remondi tingimused peavad kogu lepinguperioodil vastama minimaalselt </w:t>
      </w:r>
      <w:r>
        <w:rPr>
          <w:lang w:val="et-EE"/>
        </w:rPr>
        <w:t>riigihanke hanketingimustest tulenevatele nõuetele</w:t>
      </w:r>
      <w:r w:rsidRPr="00E61D20">
        <w:t>.</w:t>
      </w:r>
    </w:p>
    <w:p w14:paraId="1F5331F9" w14:textId="77777777" w:rsidR="002141A9" w:rsidRPr="00E61D20" w:rsidRDefault="002141A9" w:rsidP="00A71D48">
      <w:pPr>
        <w:numPr>
          <w:ilvl w:val="1"/>
          <w:numId w:val="1"/>
        </w:numPr>
        <w:spacing w:before="120" w:after="0" w:line="240" w:lineRule="auto"/>
        <w:ind w:left="426" w:hanging="426"/>
        <w:jc w:val="both"/>
        <w:rPr>
          <w:rFonts w:ascii="Times New Roman" w:eastAsia="Times New Roman" w:hAnsi="Times New Roman" w:cs="Times New Roman"/>
          <w:sz w:val="24"/>
          <w:szCs w:val="24"/>
          <w:lang w:val="x-none" w:eastAsia="x-none"/>
        </w:rPr>
      </w:pPr>
      <w:r w:rsidRPr="00E61D20">
        <w:rPr>
          <w:rFonts w:ascii="Times New Roman" w:eastAsia="Calibri" w:hAnsi="Times New Roman" w:cs="Times New Roman"/>
          <w:sz w:val="24"/>
          <w:szCs w:val="24"/>
          <w:lang w:bidi="en-US"/>
        </w:rPr>
        <w:t>Hooldus- ja remonttööd loetakse teostatuks pärast tööde vastuvõtuakti allkirjastamist. Akti allkirjastamisega kinnitab Müüja, et seade on töökorras (välja arvatud juhul, kui aktil on märgitud, et seade pole töökorras).</w:t>
      </w:r>
    </w:p>
    <w:p w14:paraId="55B0DD4C" w14:textId="77777777" w:rsidR="002141A9" w:rsidRPr="00E61D20" w:rsidRDefault="002141A9" w:rsidP="00A71D48">
      <w:pPr>
        <w:numPr>
          <w:ilvl w:val="1"/>
          <w:numId w:val="1"/>
        </w:numPr>
        <w:spacing w:before="120" w:after="0" w:line="240" w:lineRule="auto"/>
        <w:ind w:left="426" w:hanging="426"/>
        <w:jc w:val="both"/>
        <w:rPr>
          <w:rFonts w:ascii="Times New Roman" w:eastAsia="Times New Roman" w:hAnsi="Times New Roman" w:cs="Times New Roman"/>
          <w:sz w:val="24"/>
          <w:szCs w:val="24"/>
          <w:lang w:val="x-none" w:eastAsia="x-none"/>
        </w:rPr>
      </w:pPr>
      <w:r w:rsidRPr="00E61D20">
        <w:rPr>
          <w:rFonts w:ascii="Times New Roman" w:eastAsia="Calibri" w:hAnsi="Times New Roman" w:cs="Times New Roman"/>
          <w:sz w:val="24"/>
          <w:szCs w:val="24"/>
          <w:lang w:bidi="en-US"/>
        </w:rPr>
        <w:t xml:space="preserve">Informatsiooni edastamise kohustus ning kohustus menetleda ohujuhtumeid: </w:t>
      </w:r>
      <w:r>
        <w:rPr>
          <w:rFonts w:ascii="Times New Roman" w:eastAsia="Calibri" w:hAnsi="Times New Roman" w:cs="Times New Roman"/>
          <w:sz w:val="24"/>
          <w:szCs w:val="24"/>
          <w:lang w:bidi="en-US"/>
        </w:rPr>
        <w:t>Müüja</w:t>
      </w:r>
      <w:r w:rsidRPr="00E61D20">
        <w:rPr>
          <w:rFonts w:ascii="Times New Roman" w:eastAsia="Calibri" w:hAnsi="Times New Roman" w:cs="Times New Roman"/>
          <w:sz w:val="24"/>
          <w:szCs w:val="24"/>
          <w:lang w:bidi="en-US"/>
        </w:rPr>
        <w:t xml:space="preserve"> kohustub edastama </w:t>
      </w:r>
      <w:r>
        <w:rPr>
          <w:rFonts w:ascii="Times New Roman" w:eastAsia="Calibri" w:hAnsi="Times New Roman" w:cs="Times New Roman"/>
          <w:sz w:val="24"/>
          <w:szCs w:val="24"/>
          <w:lang w:bidi="en-US"/>
        </w:rPr>
        <w:t>Ostja</w:t>
      </w:r>
      <w:r w:rsidRPr="00E61D20">
        <w:rPr>
          <w:rFonts w:ascii="Times New Roman" w:eastAsia="Calibri" w:hAnsi="Times New Roman" w:cs="Times New Roman"/>
          <w:sz w:val="24"/>
          <w:szCs w:val="24"/>
          <w:lang w:bidi="en-US"/>
        </w:rPr>
        <w:t xml:space="preserve"> volitatud esindajale igakülgse informatsiooni tarnitud </w:t>
      </w:r>
      <w:r>
        <w:rPr>
          <w:rFonts w:ascii="Times New Roman" w:eastAsia="Calibri" w:hAnsi="Times New Roman" w:cs="Times New Roman"/>
          <w:sz w:val="24"/>
          <w:szCs w:val="24"/>
          <w:lang w:bidi="en-US"/>
        </w:rPr>
        <w:t>seadme</w:t>
      </w:r>
      <w:r w:rsidRPr="00E61D20">
        <w:rPr>
          <w:rFonts w:ascii="Times New Roman" w:eastAsia="Calibri" w:hAnsi="Times New Roman" w:cs="Times New Roman"/>
          <w:sz w:val="24"/>
          <w:szCs w:val="24"/>
          <w:lang w:bidi="en-US"/>
        </w:rPr>
        <w:t xml:space="preserve"> kohta, teatama koheselt lepinguperioodil ilmnenud negatiivsetest omadustest, teaduslikest ja kliinilistest avastustest, mis puudutavad tarnitud </w:t>
      </w:r>
      <w:r>
        <w:rPr>
          <w:rFonts w:ascii="Times New Roman" w:eastAsia="Calibri" w:hAnsi="Times New Roman" w:cs="Times New Roman"/>
          <w:sz w:val="24"/>
          <w:szCs w:val="24"/>
          <w:lang w:bidi="en-US"/>
        </w:rPr>
        <w:t>seadet</w:t>
      </w:r>
      <w:r w:rsidRPr="00E61D20">
        <w:rPr>
          <w:rFonts w:ascii="Times New Roman" w:eastAsia="Calibri" w:hAnsi="Times New Roman" w:cs="Times New Roman"/>
          <w:sz w:val="24"/>
          <w:szCs w:val="24"/>
          <w:lang w:bidi="en-US"/>
        </w:rPr>
        <w:t xml:space="preserve"> ning kohustub rakendama/paigaldama meetmed, mis tootja on välja töötanud edaspidiseks ohujuhtumi kordumise välistamiseks.</w:t>
      </w:r>
    </w:p>
    <w:p w14:paraId="7D267D27" w14:textId="77777777" w:rsidR="002141A9" w:rsidRPr="00E61D20" w:rsidRDefault="002141A9" w:rsidP="00A71D48">
      <w:pPr>
        <w:numPr>
          <w:ilvl w:val="1"/>
          <w:numId w:val="1"/>
        </w:numPr>
        <w:spacing w:before="120" w:after="0" w:line="240" w:lineRule="auto"/>
        <w:ind w:left="426" w:hanging="426"/>
        <w:jc w:val="both"/>
        <w:rPr>
          <w:rFonts w:ascii="Times New Roman" w:eastAsia="Calibri" w:hAnsi="Times New Roman" w:cs="Times New Roman"/>
          <w:sz w:val="24"/>
          <w:szCs w:val="24"/>
          <w:lang w:bidi="en-US"/>
        </w:rPr>
      </w:pPr>
      <w:r w:rsidRPr="00E61D20">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 xml:space="preserve"> peab kasutama hooldus- ja remonttööde</w:t>
      </w:r>
      <w:r>
        <w:rPr>
          <w:rFonts w:ascii="Times New Roman" w:eastAsia="Times New Roman" w:hAnsi="Times New Roman" w:cs="Times New Roman"/>
          <w:sz w:val="24"/>
          <w:szCs w:val="24"/>
          <w:lang w:eastAsia="x-none"/>
        </w:rPr>
        <w:t xml:space="preserve"> teostamisel</w:t>
      </w:r>
      <w:r w:rsidRPr="00E61D20">
        <w:rPr>
          <w:rFonts w:ascii="Times New Roman" w:eastAsia="Times New Roman" w:hAnsi="Times New Roman" w:cs="Times New Roman"/>
          <w:sz w:val="24"/>
          <w:szCs w:val="24"/>
          <w:lang w:val="x-none" w:eastAsia="x-none"/>
        </w:rPr>
        <w:t xml:space="preserve"> nõuetele vastavaid mõõteseadmeid ja tööriistu.</w:t>
      </w:r>
    </w:p>
    <w:p w14:paraId="489C4B7C" w14:textId="77777777" w:rsidR="002141A9" w:rsidRPr="00E61D20" w:rsidRDefault="002141A9" w:rsidP="002141A9">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6" w:name="_Toc510985227"/>
      <w:r w:rsidRPr="00E61D20">
        <w:rPr>
          <w:rFonts w:ascii="Times New Roman" w:eastAsia="Calibri" w:hAnsi="Times New Roman" w:cs="Times New Roman"/>
          <w:b/>
          <w:sz w:val="24"/>
          <w:szCs w:val="24"/>
          <w:lang w:bidi="en-US"/>
        </w:rPr>
        <w:t>Lepingu kehtivus</w:t>
      </w:r>
      <w:bookmarkEnd w:id="6"/>
    </w:p>
    <w:p w14:paraId="2F08B9E0" w14:textId="60444C0C" w:rsidR="002141A9" w:rsidRPr="006D7292" w:rsidRDefault="002141A9" w:rsidP="00FB44A0">
      <w:pPr>
        <w:pStyle w:val="HD2"/>
      </w:pPr>
      <w:bookmarkStart w:id="7" w:name="_Toc510985228"/>
      <w:r w:rsidRPr="006D7292">
        <w:t xml:space="preserve">Leping jõustub selle allkirjastamisest </w:t>
      </w:r>
      <w:r>
        <w:rPr>
          <w:lang w:val="et-EE"/>
        </w:rPr>
        <w:t>Poolte</w:t>
      </w:r>
      <w:r w:rsidRPr="006D7292">
        <w:t xml:space="preserve"> poolt v.a Lepingu automaatsel jõustumisel Lepingu punktist </w:t>
      </w:r>
      <w:r w:rsidR="00800DB2">
        <w:rPr>
          <w:lang w:val="et-EE"/>
        </w:rPr>
        <w:t>10</w:t>
      </w:r>
      <w:r>
        <w:rPr>
          <w:lang w:val="et-EE"/>
        </w:rPr>
        <w:t>.2</w:t>
      </w:r>
      <w:r w:rsidRPr="006D7292">
        <w:t xml:space="preserve">. tulenevatel tingimustel  ja korras. </w:t>
      </w:r>
      <w:r>
        <w:rPr>
          <w:lang w:val="et-EE"/>
        </w:rPr>
        <w:t xml:space="preserve">Leping kehtib kuni Poolte poolt on Lepingust tulenevad tingimused kohaselt täidetud v.a kui Leping lõpeb/lõpetatakse Lepingu punktist </w:t>
      </w:r>
      <w:r w:rsidR="00800DB2">
        <w:rPr>
          <w:lang w:val="et-EE"/>
        </w:rPr>
        <w:t>10</w:t>
      </w:r>
      <w:r>
        <w:rPr>
          <w:lang w:val="et-EE"/>
        </w:rPr>
        <w:t xml:space="preserve">.3. ja/või </w:t>
      </w:r>
      <w:r w:rsidR="00800DB2">
        <w:rPr>
          <w:lang w:val="et-EE"/>
        </w:rPr>
        <w:t>10</w:t>
      </w:r>
      <w:r>
        <w:rPr>
          <w:lang w:val="et-EE"/>
        </w:rPr>
        <w:t>.4. tulenevatel alustel ennetähtaegselt.</w:t>
      </w:r>
    </w:p>
    <w:p w14:paraId="7CCF9A71" w14:textId="53C9E363" w:rsidR="002141A9" w:rsidRPr="006D7292" w:rsidRDefault="002141A9" w:rsidP="00FB44A0">
      <w:pPr>
        <w:pStyle w:val="HD2"/>
      </w:pPr>
      <w:r w:rsidRPr="006D7292">
        <w:t xml:space="preserve">Juhul kui Müüja ei ole saatnud allkirjastatud Lepingut Ostjale tagasi hiljemalt </w:t>
      </w:r>
      <w:r w:rsidR="000B42AC">
        <w:t>viie (</w:t>
      </w:r>
      <w:r>
        <w:rPr>
          <w:lang w:val="et-EE"/>
        </w:rPr>
        <w:t>5</w:t>
      </w:r>
      <w:r w:rsidR="000B42AC">
        <w:rPr>
          <w:lang w:val="et-EE"/>
        </w:rPr>
        <w:t>)</w:t>
      </w:r>
      <w:r w:rsidRPr="006D7292">
        <w:t xml:space="preserve"> kalendripäeva jooksul Ostjalt Lepingu sõlmimise ettepaneku saamisest, kuulub Ostjale õigus lugeda Leping Poolte vahel sõlmituks ja automaatselt jõustunuks </w:t>
      </w:r>
      <w:r w:rsidR="000B42AC">
        <w:t>viie (</w:t>
      </w:r>
      <w:r>
        <w:rPr>
          <w:lang w:val="et-EE"/>
        </w:rPr>
        <w:t>5</w:t>
      </w:r>
      <w:r w:rsidR="000B42AC">
        <w:rPr>
          <w:lang w:val="et-EE"/>
        </w:rPr>
        <w:t>)</w:t>
      </w:r>
      <w:r w:rsidRPr="006D7292">
        <w:t xml:space="preserve"> kalendripäeva möödumisel Ostja poolt Müüjale Lepingu sõlmimise ettepaneku saatmise kuupäevast, st Ostja võib võtta käesolevast punktist tuleneva tähtaja möödumisel </w:t>
      </w:r>
      <w:r w:rsidRPr="006D7292">
        <w:lastRenderedPageBreak/>
        <w:t>Müüjale Lepingu sõlmimise ettepaneku tegemisest vastu Müüja poolt riigihankele pakkumuse esitamisega Ostjale esitatud lepingu sõlmimise ettepaneku</w:t>
      </w:r>
      <w:r w:rsidRPr="006D7292">
        <w:rPr>
          <w:i/>
        </w:rPr>
        <w:t>/oferdi</w:t>
      </w:r>
      <w:r w:rsidRPr="006D7292">
        <w:t xml:space="preserve">. Viimasel juhul loetakse Leping sõlmituks Poolte siduvate tahteavalduste  vahetamise teel kirjalikku taasesitamist võimaldavas vormis. </w:t>
      </w:r>
    </w:p>
    <w:p w14:paraId="4364D99C" w14:textId="77777777" w:rsidR="002141A9" w:rsidRDefault="002141A9" w:rsidP="00FB44A0">
      <w:pPr>
        <w:pStyle w:val="HD2"/>
      </w:pPr>
      <w:r w:rsidRPr="00E61D20">
        <w:t>Lepingut võib lõpetada ennetähtaegselt Poolte kokkuleppel. Üks Pool võib lõpetada Lepingu ühepoolselt ennetähtaegselt seaduses ettenähtud juhtudel.</w:t>
      </w:r>
    </w:p>
    <w:p w14:paraId="0EFD198E" w14:textId="77777777" w:rsidR="002141A9" w:rsidRPr="00D30228" w:rsidRDefault="002141A9" w:rsidP="00FB44A0">
      <w:pPr>
        <w:pStyle w:val="HD2"/>
      </w:pPr>
      <w:r w:rsidRPr="00D30228">
        <w:t>Ostjale kuulub õigus öelda leping mistahes ajal korraliselt ülesse, teatades sellest Müüjale vähemalt kolm (3) kuud ette. Käesolevast punktist tuleneva etteteatamise tähtaja järgimisel puudub Müüjal õigus esitada Ostja vastu seoses lepingu lõpetamisega mistahes saamata jäänud tulu, kahjude hüvitamise, leppetrahvi vms nõudeid.</w:t>
      </w:r>
    </w:p>
    <w:p w14:paraId="1ECA14EF" w14:textId="77777777" w:rsidR="002141A9" w:rsidRPr="00E61D20" w:rsidRDefault="002141A9" w:rsidP="00FB44A0">
      <w:pPr>
        <w:pStyle w:val="HD2"/>
      </w:pPr>
      <w:r w:rsidRPr="00E61D20">
        <w:t>Müüja kohustub Lepingu Müüjapoolsel ennetähtaegsel lõpetamisel hüvitama Ostjale Ostja nõudel kõik Lepingu ennetähtaegsest lõpetamisest tulenevad kahjud (sealhulgas ka teiselt müüjalt samalaadse toote või hooldusteenuse ostmisest tingitud kulud).</w:t>
      </w:r>
    </w:p>
    <w:p w14:paraId="4991DF14" w14:textId="77777777" w:rsidR="002141A9" w:rsidRPr="00E61D20" w:rsidRDefault="002141A9" w:rsidP="002141A9">
      <w:pPr>
        <w:numPr>
          <w:ilvl w:val="0"/>
          <w:numId w:val="1"/>
        </w:numPr>
        <w:spacing w:before="120" w:after="0" w:line="240" w:lineRule="auto"/>
        <w:ind w:left="425" w:hanging="425"/>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Vääramatu jõud</w:t>
      </w:r>
      <w:bookmarkEnd w:id="7"/>
    </w:p>
    <w:p w14:paraId="7C27DC53" w14:textId="77777777" w:rsidR="002141A9" w:rsidRPr="003A3887" w:rsidRDefault="002141A9" w:rsidP="00FB44A0">
      <w:pPr>
        <w:pStyle w:val="HD2"/>
      </w:pPr>
      <w:bookmarkStart w:id="8" w:name="_Toc510985229"/>
      <w:r w:rsidRPr="003A3887">
        <w:t>Lepingust tulenevate kohustuste mittetäitmist või mittenõuetekohast täitmist ei loeta lepingu rikkumiseks, kui selle põhjuseks olid Võlaõigusseaduses sätestatud “vääramatu jõu” asjaolud.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14:paraId="203C6918" w14:textId="77777777" w:rsidR="002141A9" w:rsidRPr="003A3887" w:rsidRDefault="002141A9" w:rsidP="00FB44A0">
      <w:pPr>
        <w:pStyle w:val="HD2"/>
      </w:pPr>
      <w:r w:rsidRPr="003A3887">
        <w:t>Pool, kelle tegevus lepingujärgsete kohustuste täitmisel on takistatud ettenägemata asjaolude tõttu, on kohustatud sellest viivitamatult teatama teisele poolele vahenditega, mis tagavad teate kiireima edastamise, samas saates välja tähitud kirjaga teate.</w:t>
      </w:r>
    </w:p>
    <w:p w14:paraId="48988AD2" w14:textId="77777777" w:rsidR="002141A9" w:rsidRPr="003A3887" w:rsidRDefault="002141A9" w:rsidP="00FB44A0">
      <w:pPr>
        <w:pStyle w:val="HD2"/>
        <w:rPr>
          <w:b/>
          <w:sz w:val="20"/>
        </w:rPr>
      </w:pPr>
      <w:r w:rsidRPr="003A3887">
        <w:t>Lepingust tulenevate kohustuste mittetäitmist või mittenõuetekohast täitmist ei loeta Lepingu rikkumiseks, kui selle põhjuseks olid asjaolud, mille saabumist Pooled Lepingu sõlmimisel ette ei näinud ega võinud ette näha ja seda asjaolu ei saanud Pooled mõjutada (vääramatu jõud). Vääramatu jõuna käesoleva Lepingu mõistes ei käsitleta pandeemiat või muud sise- või välisriiklikku, sh kuid mitte ainult Covid-SARS2 viiruspuhangust või Lepingu sõlmimise ajal teada olnud sõjalisest seisukorrast või streigist tingitud, eriolukorda või eelnimetatuga vahetult seotud asjaolusid.</w:t>
      </w:r>
    </w:p>
    <w:p w14:paraId="1F12709C" w14:textId="77777777" w:rsidR="002141A9" w:rsidRPr="00E61D20" w:rsidRDefault="002141A9" w:rsidP="002141A9">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Pooltevahelised teated</w:t>
      </w:r>
      <w:bookmarkEnd w:id="8"/>
      <w:r w:rsidRPr="00E61D20">
        <w:rPr>
          <w:rFonts w:ascii="Times New Roman" w:eastAsia="Calibri" w:hAnsi="Times New Roman" w:cs="Times New Roman"/>
          <w:b/>
          <w:sz w:val="24"/>
          <w:szCs w:val="24"/>
          <w:lang w:bidi="en-US"/>
        </w:rPr>
        <w:t xml:space="preserve"> </w:t>
      </w:r>
    </w:p>
    <w:p w14:paraId="2176CDBE" w14:textId="77777777" w:rsidR="002141A9" w:rsidRPr="00E61D20" w:rsidRDefault="002141A9" w:rsidP="00D758A2">
      <w:pPr>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Lepinguga seotud teated tuleb edastada Poolte Lepingus märgitud aadressidele. Teadete edastamine toimub</w:t>
      </w:r>
      <w:r>
        <w:rPr>
          <w:rFonts w:ascii="Times New Roman" w:eastAsia="Calibri" w:hAnsi="Times New Roman" w:cs="Times New Roman"/>
          <w:sz w:val="24"/>
          <w:szCs w:val="24"/>
          <w:lang w:bidi="en-US"/>
        </w:rPr>
        <w:t xml:space="preserve"> reeglina</w:t>
      </w:r>
      <w:r w:rsidRPr="00E61D20">
        <w:rPr>
          <w:rFonts w:ascii="Times New Roman" w:eastAsia="Calibri" w:hAnsi="Times New Roman" w:cs="Times New Roman"/>
          <w:sz w:val="24"/>
          <w:szCs w:val="24"/>
          <w:lang w:bidi="en-US"/>
        </w:rPr>
        <w:t xml:space="preserve"> e-posti teel, v.a. Lepingus ettenähtud erijuhtudel.</w:t>
      </w:r>
    </w:p>
    <w:p w14:paraId="65BFA6EC" w14:textId="0299F75F" w:rsidR="002141A9" w:rsidRPr="00E61D20" w:rsidRDefault="002141A9" w:rsidP="00D758A2">
      <w:pPr>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Nõuded seoses </w:t>
      </w:r>
      <w:r w:rsidR="001F7B77">
        <w:rPr>
          <w:rFonts w:ascii="Times New Roman" w:eastAsia="Calibri" w:hAnsi="Times New Roman" w:cs="Times New Roman"/>
          <w:sz w:val="24"/>
          <w:szCs w:val="24"/>
          <w:lang w:eastAsia="ar-SA" w:bidi="en-US"/>
        </w:rPr>
        <w:t>s</w:t>
      </w:r>
      <w:r>
        <w:rPr>
          <w:rFonts w:ascii="Times New Roman" w:eastAsia="Calibri" w:hAnsi="Times New Roman" w:cs="Times New Roman"/>
          <w:sz w:val="24"/>
          <w:szCs w:val="24"/>
          <w:lang w:eastAsia="ar-SA" w:bidi="en-US"/>
        </w:rPr>
        <w:t>eadme</w:t>
      </w:r>
      <w:r w:rsidRPr="00E61D20">
        <w:rPr>
          <w:rFonts w:ascii="Times New Roman" w:eastAsia="Calibri" w:hAnsi="Times New Roman" w:cs="Times New Roman"/>
          <w:sz w:val="24"/>
          <w:szCs w:val="24"/>
          <w:lang w:eastAsia="ar-SA" w:bidi="en-US"/>
        </w:rPr>
        <w:t xml:space="preserve"> mittekvaliteetsuse või Lepingu tingimustele mittevastavusega, samuti teated Lepingu lõpetamise kohta ning kahju ja/või viivise nõuded esitatakse teisele Poolele kirjalikus vormis. Teade loetakse kätteantuks, kui teade on üle antud allkirja vastu või teade on saadetud postiasutuse poolt tähitud kirjaga ja postitamisest on möödunud </w:t>
      </w:r>
      <w:r w:rsidR="00B41C02">
        <w:rPr>
          <w:rFonts w:ascii="Times New Roman" w:eastAsia="Calibri" w:hAnsi="Times New Roman" w:cs="Times New Roman"/>
          <w:sz w:val="24"/>
          <w:szCs w:val="24"/>
          <w:lang w:eastAsia="ar-SA" w:bidi="en-US"/>
        </w:rPr>
        <w:t xml:space="preserve">viis (5) </w:t>
      </w:r>
      <w:r w:rsidRPr="00E61D20">
        <w:rPr>
          <w:rFonts w:ascii="Times New Roman" w:eastAsia="Calibri" w:hAnsi="Times New Roman" w:cs="Times New Roman"/>
          <w:sz w:val="24"/>
          <w:szCs w:val="24"/>
          <w:lang w:eastAsia="ar-SA" w:bidi="en-US"/>
        </w:rPr>
        <w:t>kalendripäeva. E-posti teel edastatud teated loetakse kohale</w:t>
      </w:r>
      <w:r>
        <w:rPr>
          <w:rFonts w:ascii="Times New Roman" w:eastAsia="Calibri" w:hAnsi="Times New Roman" w:cs="Times New Roman"/>
          <w:sz w:val="24"/>
          <w:szCs w:val="24"/>
          <w:lang w:eastAsia="ar-SA" w:bidi="en-US"/>
        </w:rPr>
        <w:t xml:space="preserve"> </w:t>
      </w:r>
      <w:r w:rsidRPr="00E61D20">
        <w:rPr>
          <w:rFonts w:ascii="Times New Roman" w:eastAsia="Calibri" w:hAnsi="Times New Roman" w:cs="Times New Roman"/>
          <w:sz w:val="24"/>
          <w:szCs w:val="24"/>
          <w:lang w:eastAsia="ar-SA" w:bidi="en-US"/>
        </w:rPr>
        <w:t xml:space="preserve">toimetatuks, kui </w:t>
      </w:r>
      <w:r>
        <w:rPr>
          <w:rFonts w:ascii="Times New Roman" w:eastAsia="Calibri" w:hAnsi="Times New Roman" w:cs="Times New Roman"/>
          <w:sz w:val="24"/>
          <w:szCs w:val="24"/>
          <w:lang w:eastAsia="ar-SA" w:bidi="en-US"/>
        </w:rPr>
        <w:t>teate saatmisest on möödunud</w:t>
      </w:r>
      <w:r w:rsidR="00DD317E">
        <w:rPr>
          <w:rFonts w:ascii="Times New Roman" w:eastAsia="Calibri" w:hAnsi="Times New Roman" w:cs="Times New Roman"/>
          <w:sz w:val="24"/>
          <w:szCs w:val="24"/>
          <w:lang w:eastAsia="ar-SA" w:bidi="en-US"/>
        </w:rPr>
        <w:t xml:space="preserve"> üks</w:t>
      </w:r>
      <w:r>
        <w:rPr>
          <w:rFonts w:ascii="Times New Roman" w:eastAsia="Calibri" w:hAnsi="Times New Roman" w:cs="Times New Roman"/>
          <w:sz w:val="24"/>
          <w:szCs w:val="24"/>
          <w:lang w:eastAsia="ar-SA" w:bidi="en-US"/>
        </w:rPr>
        <w:t xml:space="preserve"> </w:t>
      </w:r>
      <w:r w:rsidR="00DD317E">
        <w:rPr>
          <w:rFonts w:ascii="Times New Roman" w:eastAsia="Calibri" w:hAnsi="Times New Roman" w:cs="Times New Roman"/>
          <w:sz w:val="24"/>
          <w:szCs w:val="24"/>
          <w:lang w:eastAsia="ar-SA" w:bidi="en-US"/>
        </w:rPr>
        <w:t>(</w:t>
      </w:r>
      <w:r>
        <w:rPr>
          <w:rFonts w:ascii="Times New Roman" w:eastAsia="Calibri" w:hAnsi="Times New Roman" w:cs="Times New Roman"/>
          <w:sz w:val="24"/>
          <w:szCs w:val="24"/>
          <w:lang w:eastAsia="ar-SA" w:bidi="en-US"/>
        </w:rPr>
        <w:t>1</w:t>
      </w:r>
      <w:r w:rsidR="00DD317E">
        <w:rPr>
          <w:rFonts w:ascii="Times New Roman" w:eastAsia="Calibri" w:hAnsi="Times New Roman" w:cs="Times New Roman"/>
          <w:sz w:val="24"/>
          <w:szCs w:val="24"/>
          <w:lang w:eastAsia="ar-SA" w:bidi="en-US"/>
        </w:rPr>
        <w:t>)</w:t>
      </w:r>
      <w:r>
        <w:rPr>
          <w:rFonts w:ascii="Times New Roman" w:eastAsia="Calibri" w:hAnsi="Times New Roman" w:cs="Times New Roman"/>
          <w:sz w:val="24"/>
          <w:szCs w:val="24"/>
          <w:lang w:eastAsia="ar-SA" w:bidi="en-US"/>
        </w:rPr>
        <w:t xml:space="preserve"> tööpäev, kusjuures vajadusel tõendab teate saatnud pool teate saatmise toimumist ning aega elektronkirja/serveri logifailiga</w:t>
      </w:r>
      <w:r w:rsidRPr="00E61D20">
        <w:rPr>
          <w:rFonts w:ascii="Times New Roman" w:eastAsia="Calibri" w:hAnsi="Times New Roman" w:cs="Times New Roman"/>
          <w:sz w:val="24"/>
          <w:szCs w:val="24"/>
          <w:lang w:bidi="en-US"/>
        </w:rPr>
        <w:t>.</w:t>
      </w:r>
    </w:p>
    <w:p w14:paraId="04738EB8" w14:textId="77777777" w:rsidR="002141A9" w:rsidRPr="00094487" w:rsidRDefault="002141A9" w:rsidP="00FB44A0">
      <w:pPr>
        <w:pStyle w:val="HD2"/>
      </w:pPr>
      <w:r w:rsidRPr="00094487">
        <w:t>Ostja kontaktisikuteks Lepingu raames on:</w:t>
      </w:r>
    </w:p>
    <w:p w14:paraId="6036DA4B" w14:textId="60C6661B" w:rsidR="002141A9" w:rsidRPr="00606A08" w:rsidRDefault="001F7B77" w:rsidP="00EC3451">
      <w:pPr>
        <w:numPr>
          <w:ilvl w:val="2"/>
          <w:numId w:val="1"/>
        </w:numPr>
        <w:suppressAutoHyphens/>
        <w:spacing w:after="0" w:line="240" w:lineRule="auto"/>
        <w:ind w:left="993" w:hanging="850"/>
        <w:jc w:val="both"/>
        <w:rPr>
          <w:rFonts w:ascii="Times New Roman" w:eastAsia="Calibri" w:hAnsi="Times New Roman" w:cs="Times New Roman"/>
          <w:sz w:val="24"/>
          <w:szCs w:val="24"/>
          <w:lang w:eastAsia="ar-SA" w:bidi="en-US"/>
        </w:rPr>
      </w:pPr>
      <w:r w:rsidRPr="005F3FBA">
        <w:rPr>
          <w:rFonts w:ascii="Times New Roman" w:eastAsia="Times New Roman" w:hAnsi="Times New Roman" w:cs="Times New Roman"/>
          <w:spacing w:val="-6"/>
          <w:sz w:val="24"/>
          <w:szCs w:val="24"/>
          <w:lang w:bidi="en-US"/>
        </w:rPr>
        <w:t>s</w:t>
      </w:r>
      <w:r w:rsidR="002141A9" w:rsidRPr="005F3FBA">
        <w:rPr>
          <w:rFonts w:ascii="Times New Roman" w:eastAsia="Times New Roman" w:hAnsi="Times New Roman" w:cs="Times New Roman"/>
          <w:spacing w:val="-6"/>
          <w:sz w:val="24"/>
          <w:szCs w:val="24"/>
          <w:lang w:bidi="en-US"/>
        </w:rPr>
        <w:t>eadme vastu võtmisel</w:t>
      </w:r>
      <w:r w:rsidR="00E83832" w:rsidRPr="005F3FBA">
        <w:rPr>
          <w:rFonts w:ascii="Times New Roman" w:eastAsia="Times New Roman" w:hAnsi="Times New Roman" w:cs="Times New Roman"/>
          <w:spacing w:val="-6"/>
          <w:sz w:val="24"/>
          <w:szCs w:val="24"/>
          <w:lang w:bidi="en-US"/>
        </w:rPr>
        <w:t>, h</w:t>
      </w:r>
      <w:r w:rsidR="002141A9" w:rsidRPr="005F3FBA">
        <w:rPr>
          <w:rFonts w:ascii="Times New Roman" w:eastAsia="Times New Roman" w:hAnsi="Times New Roman" w:cs="Times New Roman"/>
          <w:spacing w:val="-6"/>
          <w:sz w:val="24"/>
          <w:szCs w:val="24"/>
          <w:lang w:bidi="en-US"/>
        </w:rPr>
        <w:t xml:space="preserve">ooldus- ja remonttööde ning varuosade tellimisel ja </w:t>
      </w:r>
      <w:bookmarkStart w:id="9" w:name="_Hlk54594089"/>
      <w:r w:rsidR="002141A9" w:rsidRPr="005F3FBA">
        <w:rPr>
          <w:rFonts w:ascii="Times New Roman" w:eastAsia="Times New Roman" w:hAnsi="Times New Roman" w:cs="Times New Roman"/>
          <w:spacing w:val="-6"/>
          <w:sz w:val="24"/>
          <w:szCs w:val="24"/>
          <w:lang w:bidi="en-US"/>
        </w:rPr>
        <w:t>vastu võtmisel ……</w:t>
      </w:r>
      <w:r w:rsidR="00072B1F" w:rsidRPr="005F3FBA">
        <w:rPr>
          <w:rFonts w:ascii="Times New Roman" w:eastAsia="Times New Roman" w:hAnsi="Times New Roman" w:cs="Times New Roman"/>
          <w:spacing w:val="-6"/>
          <w:sz w:val="24"/>
          <w:szCs w:val="24"/>
          <w:lang w:bidi="en-US"/>
        </w:rPr>
        <w:t>...</w:t>
      </w:r>
      <w:r w:rsidR="002141A9" w:rsidRPr="005F3FBA">
        <w:rPr>
          <w:rFonts w:ascii="Times New Roman" w:eastAsia="Times New Roman" w:hAnsi="Times New Roman" w:cs="Times New Roman"/>
          <w:spacing w:val="-6"/>
          <w:sz w:val="24"/>
          <w:szCs w:val="24"/>
          <w:lang w:bidi="en-US"/>
        </w:rPr>
        <w:t>…….</w:t>
      </w:r>
      <w:r w:rsidR="002141A9" w:rsidRPr="005F3FBA">
        <w:rPr>
          <w:rFonts w:ascii="Times New Roman" w:eastAsia="Times New Roman" w:hAnsi="Times New Roman" w:cs="Times New Roman"/>
          <w:sz w:val="24"/>
          <w:szCs w:val="24"/>
          <w:lang w:bidi="en-US"/>
        </w:rPr>
        <w:t>, telefon ……</w:t>
      </w:r>
      <w:r w:rsidR="00072B1F" w:rsidRPr="005F3FBA">
        <w:rPr>
          <w:rFonts w:ascii="Times New Roman" w:eastAsia="Times New Roman" w:hAnsi="Times New Roman" w:cs="Times New Roman"/>
          <w:sz w:val="24"/>
          <w:szCs w:val="24"/>
          <w:lang w:bidi="en-US"/>
        </w:rPr>
        <w:t>..</w:t>
      </w:r>
      <w:r w:rsidR="002141A9" w:rsidRPr="005F3FBA">
        <w:rPr>
          <w:rFonts w:ascii="Times New Roman" w:eastAsia="Times New Roman" w:hAnsi="Times New Roman" w:cs="Times New Roman"/>
          <w:sz w:val="24"/>
          <w:szCs w:val="24"/>
          <w:lang w:bidi="en-US"/>
        </w:rPr>
        <w:t xml:space="preserve">….., e-post </w:t>
      </w:r>
      <w:hyperlink r:id="rId10" w:history="1">
        <w:r w:rsidR="00072B1F" w:rsidRPr="005F3FBA">
          <w:rPr>
            <w:rStyle w:val="Hyperlink"/>
            <w:rFonts w:ascii="Times New Roman" w:eastAsia="Calibri" w:hAnsi="Times New Roman" w:cs="Times New Roman"/>
            <w:sz w:val="24"/>
            <w:szCs w:val="24"/>
          </w:rPr>
          <w:t>............@rh.ee</w:t>
        </w:r>
      </w:hyperlink>
      <w:bookmarkEnd w:id="9"/>
      <w:r w:rsidR="005F3FBA" w:rsidRPr="005F3FBA">
        <w:rPr>
          <w:rFonts w:ascii="Times New Roman" w:eastAsia="Times New Roman" w:hAnsi="Times New Roman" w:cs="Times New Roman"/>
          <w:sz w:val="24"/>
          <w:szCs w:val="24"/>
          <w:lang w:bidi="en-US"/>
        </w:rPr>
        <w:t xml:space="preserve"> või tema poolt määratud </w:t>
      </w:r>
      <w:r w:rsidR="003B5345">
        <w:rPr>
          <w:rFonts w:ascii="Times New Roman" w:eastAsia="Times New Roman" w:hAnsi="Times New Roman" w:cs="Times New Roman"/>
          <w:sz w:val="24"/>
          <w:szCs w:val="24"/>
          <w:lang w:bidi="en-US"/>
        </w:rPr>
        <w:t>asendaja</w:t>
      </w:r>
      <w:r w:rsidR="005F3FBA">
        <w:rPr>
          <w:rFonts w:ascii="Times New Roman" w:eastAsia="Times New Roman" w:hAnsi="Times New Roman" w:cs="Times New Roman"/>
          <w:sz w:val="24"/>
          <w:szCs w:val="24"/>
          <w:lang w:bidi="en-US"/>
        </w:rPr>
        <w:t>;</w:t>
      </w:r>
    </w:p>
    <w:p w14:paraId="386C9106" w14:textId="7345D86C" w:rsidR="00606A08" w:rsidRPr="005F3FBA" w:rsidRDefault="00606A08" w:rsidP="00606A08">
      <w:pPr>
        <w:numPr>
          <w:ilvl w:val="2"/>
          <w:numId w:val="1"/>
        </w:numPr>
        <w:suppressAutoHyphens/>
        <w:spacing w:after="0" w:line="240" w:lineRule="auto"/>
        <w:ind w:left="993" w:hanging="850"/>
        <w:jc w:val="both"/>
        <w:rPr>
          <w:rFonts w:ascii="Times New Roman" w:eastAsia="Calibri" w:hAnsi="Times New Roman" w:cs="Times New Roman"/>
          <w:sz w:val="24"/>
          <w:szCs w:val="24"/>
          <w:lang w:eastAsia="ar-SA" w:bidi="en-US"/>
        </w:rPr>
      </w:pPr>
      <w:r>
        <w:rPr>
          <w:rFonts w:ascii="Times New Roman" w:eastAsia="Times New Roman" w:hAnsi="Times New Roman" w:cs="Times New Roman"/>
          <w:sz w:val="24"/>
          <w:szCs w:val="24"/>
          <w:lang w:bidi="en-US"/>
        </w:rPr>
        <w:lastRenderedPageBreak/>
        <w:t xml:space="preserve">kauba tellimisel ........., telefon ........., e-post </w:t>
      </w:r>
      <w:hyperlink r:id="rId11" w:history="1">
        <w:r w:rsidRPr="006B6C04">
          <w:rPr>
            <w:rStyle w:val="Hyperlink"/>
            <w:rFonts w:ascii="Times New Roman" w:eastAsia="Times New Roman" w:hAnsi="Times New Roman" w:cs="Times New Roman"/>
            <w:sz w:val="24"/>
            <w:szCs w:val="24"/>
            <w:lang w:bidi="en-US"/>
          </w:rPr>
          <w:t>........@rh.ee</w:t>
        </w:r>
      </w:hyperlink>
      <w:r>
        <w:rPr>
          <w:rFonts w:ascii="Times New Roman" w:eastAsia="Times New Roman" w:hAnsi="Times New Roman" w:cs="Times New Roman"/>
          <w:sz w:val="24"/>
          <w:szCs w:val="24"/>
          <w:lang w:bidi="en-US"/>
        </w:rPr>
        <w:t xml:space="preserve"> või tema poolt määratud </w:t>
      </w:r>
      <w:r w:rsidR="003B5345">
        <w:rPr>
          <w:rFonts w:ascii="Times New Roman" w:eastAsia="Times New Roman" w:hAnsi="Times New Roman" w:cs="Times New Roman"/>
          <w:sz w:val="24"/>
          <w:szCs w:val="24"/>
          <w:lang w:bidi="en-US"/>
        </w:rPr>
        <w:t>asendaja</w:t>
      </w:r>
      <w:r>
        <w:rPr>
          <w:rFonts w:ascii="Times New Roman" w:eastAsia="Times New Roman" w:hAnsi="Times New Roman" w:cs="Times New Roman"/>
          <w:sz w:val="24"/>
          <w:szCs w:val="24"/>
          <w:lang w:bidi="en-US"/>
        </w:rPr>
        <w:t>;</w:t>
      </w:r>
    </w:p>
    <w:p w14:paraId="33616AF4" w14:textId="103AE962" w:rsidR="002141A9" w:rsidRPr="00094487" w:rsidRDefault="002141A9" w:rsidP="00EC3451">
      <w:pPr>
        <w:numPr>
          <w:ilvl w:val="2"/>
          <w:numId w:val="1"/>
        </w:numPr>
        <w:suppressAutoHyphens/>
        <w:spacing w:after="0" w:line="240" w:lineRule="auto"/>
        <w:ind w:left="993" w:hanging="850"/>
        <w:jc w:val="both"/>
        <w:rPr>
          <w:rFonts w:ascii="Times New Roman" w:eastAsia="Calibri" w:hAnsi="Times New Roman" w:cs="Times New Roman"/>
          <w:sz w:val="24"/>
          <w:szCs w:val="24"/>
          <w:lang w:eastAsia="ar-SA" w:bidi="en-US"/>
        </w:rPr>
      </w:pPr>
      <w:r w:rsidRPr="00094487">
        <w:rPr>
          <w:rFonts w:ascii="Times New Roman" w:eastAsia="Times New Roman" w:hAnsi="Times New Roman" w:cs="Times New Roman"/>
          <w:sz w:val="24"/>
          <w:szCs w:val="24"/>
          <w:lang w:bidi="en-US"/>
        </w:rPr>
        <w:t>lepingulistes küsimustes ……</w:t>
      </w:r>
      <w:r w:rsidR="00072B1F" w:rsidRPr="00094487">
        <w:rPr>
          <w:rFonts w:ascii="Times New Roman" w:eastAsia="Times New Roman" w:hAnsi="Times New Roman" w:cs="Times New Roman"/>
          <w:sz w:val="24"/>
          <w:szCs w:val="24"/>
          <w:lang w:bidi="en-US"/>
        </w:rPr>
        <w:t>..</w:t>
      </w:r>
      <w:r w:rsidRPr="00094487">
        <w:rPr>
          <w:rFonts w:ascii="Times New Roman" w:eastAsia="Times New Roman" w:hAnsi="Times New Roman" w:cs="Times New Roman"/>
          <w:sz w:val="24"/>
          <w:szCs w:val="24"/>
          <w:lang w:bidi="en-US"/>
        </w:rPr>
        <w:t>…., telefon ……</w:t>
      </w:r>
      <w:r w:rsidR="00072B1F" w:rsidRPr="00094487">
        <w:rPr>
          <w:rFonts w:ascii="Times New Roman" w:eastAsia="Times New Roman" w:hAnsi="Times New Roman" w:cs="Times New Roman"/>
          <w:sz w:val="24"/>
          <w:szCs w:val="24"/>
          <w:lang w:bidi="en-US"/>
        </w:rPr>
        <w:t>..</w:t>
      </w:r>
      <w:r w:rsidRPr="00094487">
        <w:rPr>
          <w:rFonts w:ascii="Times New Roman" w:eastAsia="Times New Roman" w:hAnsi="Times New Roman" w:cs="Times New Roman"/>
          <w:sz w:val="24"/>
          <w:szCs w:val="24"/>
          <w:lang w:bidi="en-US"/>
        </w:rPr>
        <w:t xml:space="preserve">.., e-post </w:t>
      </w:r>
      <w:hyperlink r:id="rId12" w:history="1">
        <w:r w:rsidR="00072B1F" w:rsidRPr="00094487">
          <w:rPr>
            <w:rStyle w:val="Hyperlink"/>
            <w:rFonts w:ascii="Times New Roman" w:eastAsia="Times New Roman" w:hAnsi="Times New Roman" w:cs="Times New Roman"/>
            <w:sz w:val="24"/>
            <w:szCs w:val="24"/>
          </w:rPr>
          <w:t>...........@rh.ee</w:t>
        </w:r>
      </w:hyperlink>
      <w:r w:rsidRPr="00094487">
        <w:rPr>
          <w:rFonts w:ascii="Times New Roman" w:eastAsia="Times New Roman" w:hAnsi="Times New Roman" w:cs="Times New Roman"/>
          <w:sz w:val="24"/>
          <w:szCs w:val="24"/>
          <w:lang w:bidi="en-US"/>
        </w:rPr>
        <w:t xml:space="preserve"> või tema poolt määratud asendaja.</w:t>
      </w:r>
    </w:p>
    <w:p w14:paraId="3B50E836" w14:textId="77777777" w:rsidR="002141A9" w:rsidRDefault="002141A9" w:rsidP="00FB44A0">
      <w:pPr>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Müüja kontaktisik</w:t>
      </w:r>
      <w:r>
        <w:rPr>
          <w:rFonts w:ascii="Times New Roman" w:eastAsia="Calibri" w:hAnsi="Times New Roman" w:cs="Times New Roman"/>
          <w:sz w:val="24"/>
          <w:szCs w:val="24"/>
          <w:lang w:bidi="en-US"/>
        </w:rPr>
        <w:t>uteks Lepingu raames on</w:t>
      </w:r>
      <w:r w:rsidRPr="00E61D20">
        <w:rPr>
          <w:rFonts w:ascii="Times New Roman" w:eastAsia="Calibri" w:hAnsi="Times New Roman" w:cs="Times New Roman"/>
          <w:sz w:val="24"/>
          <w:szCs w:val="24"/>
          <w:lang w:bidi="en-US"/>
        </w:rPr>
        <w:t>:</w:t>
      </w:r>
    </w:p>
    <w:p w14:paraId="29E923BB" w14:textId="58330B46" w:rsidR="002141A9" w:rsidRDefault="002141A9" w:rsidP="00862231">
      <w:pPr>
        <w:numPr>
          <w:ilvl w:val="2"/>
          <w:numId w:val="1"/>
        </w:numPr>
        <w:spacing w:after="0" w:line="240" w:lineRule="auto"/>
        <w:ind w:left="99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 …</w:t>
      </w:r>
      <w:r w:rsidR="007B5F31">
        <w:rPr>
          <w:rFonts w:ascii="Times New Roman" w:eastAsia="Calibri" w:hAnsi="Times New Roman" w:cs="Times New Roman"/>
          <w:sz w:val="24"/>
          <w:szCs w:val="24"/>
          <w:lang w:bidi="en-US"/>
        </w:rPr>
        <w:t>..</w:t>
      </w:r>
      <w:r w:rsidRPr="00E61D20">
        <w:rPr>
          <w:rFonts w:ascii="Times New Roman" w:eastAsia="Calibri" w:hAnsi="Times New Roman" w:cs="Times New Roman"/>
          <w:sz w:val="24"/>
          <w:szCs w:val="24"/>
          <w:lang w:bidi="en-US"/>
        </w:rPr>
        <w:t>…</w:t>
      </w:r>
      <w:r w:rsidR="007B5F31">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lang w:bidi="en-US"/>
        </w:rPr>
        <w:t>seotud küsimustes .</w:t>
      </w:r>
      <w:r w:rsidR="007B5F31">
        <w:rPr>
          <w:rFonts w:ascii="Times New Roman" w:eastAsia="Calibri" w:hAnsi="Times New Roman" w:cs="Times New Roman"/>
          <w:sz w:val="24"/>
          <w:szCs w:val="24"/>
          <w:lang w:bidi="en-US"/>
        </w:rPr>
        <w:t>...</w:t>
      </w:r>
      <w:r w:rsidRPr="00E61D20">
        <w:rPr>
          <w:rFonts w:ascii="Times New Roman" w:eastAsia="Calibri" w:hAnsi="Times New Roman" w:cs="Times New Roman"/>
          <w:sz w:val="24"/>
          <w:szCs w:val="24"/>
          <w:lang w:bidi="en-US"/>
        </w:rPr>
        <w:t>…</w:t>
      </w:r>
    </w:p>
    <w:p w14:paraId="700C74AD" w14:textId="14D55BE5" w:rsidR="002141A9" w:rsidRPr="00E61D20" w:rsidRDefault="002141A9" w:rsidP="00707965">
      <w:pPr>
        <w:numPr>
          <w:ilvl w:val="2"/>
          <w:numId w:val="1"/>
        </w:numPr>
        <w:spacing w:after="0" w:line="240" w:lineRule="auto"/>
        <w:ind w:left="993" w:hanging="851"/>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w:t>
      </w:r>
      <w:r w:rsidR="007B5F31">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lang w:bidi="en-US"/>
        </w:rPr>
        <w:t>seotud küsimustes ..</w:t>
      </w:r>
      <w:r w:rsidR="007B5F31">
        <w:rPr>
          <w:rFonts w:ascii="Times New Roman" w:eastAsia="Calibri" w:hAnsi="Times New Roman" w:cs="Times New Roman"/>
          <w:sz w:val="24"/>
          <w:szCs w:val="24"/>
          <w:lang w:bidi="en-US"/>
        </w:rPr>
        <w:t>..</w:t>
      </w:r>
      <w:r>
        <w:rPr>
          <w:rFonts w:ascii="Times New Roman" w:eastAsia="Calibri" w:hAnsi="Times New Roman" w:cs="Times New Roman"/>
          <w:sz w:val="24"/>
          <w:szCs w:val="24"/>
          <w:lang w:bidi="en-US"/>
        </w:rPr>
        <w:t>…</w:t>
      </w:r>
    </w:p>
    <w:p w14:paraId="28E51672" w14:textId="77777777" w:rsidR="002141A9" w:rsidRPr="00E61D20" w:rsidRDefault="002141A9" w:rsidP="002141A9">
      <w:pPr>
        <w:keepNext/>
        <w:keepLines/>
        <w:numPr>
          <w:ilvl w:val="0"/>
          <w:numId w:val="1"/>
        </w:numPr>
        <w:spacing w:before="120" w:after="0" w:line="240" w:lineRule="auto"/>
        <w:jc w:val="both"/>
        <w:outlineLvl w:val="0"/>
        <w:rPr>
          <w:rFonts w:ascii="Times New Roman" w:eastAsia="Calibri" w:hAnsi="Times New Roman" w:cs="Times New Roman"/>
          <w:b/>
          <w:sz w:val="24"/>
          <w:szCs w:val="24"/>
          <w:lang w:bidi="en-US"/>
        </w:rPr>
      </w:pPr>
      <w:bookmarkStart w:id="10" w:name="_Toc510985231"/>
      <w:r w:rsidRPr="00E61D20">
        <w:rPr>
          <w:rFonts w:ascii="Times New Roman" w:eastAsia="Calibri" w:hAnsi="Times New Roman" w:cs="Times New Roman"/>
          <w:b/>
          <w:sz w:val="24"/>
          <w:szCs w:val="24"/>
          <w:lang w:eastAsia="ar-SA" w:bidi="en-US"/>
        </w:rPr>
        <w:t>Konfidentsiaalsuse kokkulepe</w:t>
      </w:r>
    </w:p>
    <w:p w14:paraId="779AE828" w14:textId="77777777" w:rsidR="002141A9" w:rsidRPr="00E61D20" w:rsidRDefault="002141A9" w:rsidP="00FB44A0">
      <w:pPr>
        <w:pStyle w:val="HD2"/>
      </w:pPr>
      <w:r w:rsidRPr="00E61D20">
        <w:t>Ostja loeb konfidentsiaalseks kogu mitteavaliku teabe, mis saab Lepingu poolele teatavaks Lepingu järgset teenust osutades. Müüja kohustub hoidma saladuses Ostjalt ükskõik mis vormis saadud informatsiooni, millele Ostja on osutanud kui konfidentsiaalsele või mille konfidentsiaalsust võib mõistlikult eeldada ning kasutama seda ainult Lepingu täitmiseks, sealhulgas tagama töödeldavate isikuandmete konfidentsiaalsuse.</w:t>
      </w:r>
    </w:p>
    <w:p w14:paraId="0CC93115" w14:textId="77777777" w:rsidR="002141A9" w:rsidRPr="00E61D20" w:rsidRDefault="002141A9" w:rsidP="00FB44A0">
      <w:pPr>
        <w:pStyle w:val="HD2"/>
      </w:pPr>
      <w:r w:rsidRPr="00E61D20">
        <w:t>Müüja peab tegema kõik temast oleneva, et vältida Ostja olemuselt konfidentsiaalse informatsiooni sattumist kolmandate isikute kätte.</w:t>
      </w:r>
    </w:p>
    <w:p w14:paraId="1D6CB17F" w14:textId="77777777" w:rsidR="002141A9" w:rsidRPr="00E61D20" w:rsidRDefault="002141A9" w:rsidP="00FB44A0">
      <w:pPr>
        <w:pStyle w:val="HD2"/>
      </w:pPr>
      <w:r w:rsidRPr="00E61D20">
        <w:t>Pooled kohustuvad teise Poole eest mitte varjama turvaintsidente. Pool teavitab teist Poolt koheselt, kui tundlik informatsioon on sattunud kolmandate isikute kätte. Pooled võtavad viivitamatult ette abinõud endise olukorra taastamiseks või edasiste turvaintsidentide ärahoidmiseks.</w:t>
      </w:r>
    </w:p>
    <w:p w14:paraId="6DE217D2" w14:textId="77777777" w:rsidR="002141A9" w:rsidRPr="00E61D20" w:rsidRDefault="002141A9" w:rsidP="00FB44A0">
      <w:pPr>
        <w:pStyle w:val="HD2"/>
      </w:pPr>
      <w:r w:rsidRPr="00E61D20">
        <w:t>Konfidentsiaalsuskohustus ei hõlma informatsiooni:</w:t>
      </w:r>
    </w:p>
    <w:p w14:paraId="15B8C675" w14:textId="77777777" w:rsidR="002141A9" w:rsidRPr="00E61D20" w:rsidRDefault="002141A9" w:rsidP="005F3FBA">
      <w:pPr>
        <w:numPr>
          <w:ilvl w:val="2"/>
          <w:numId w:val="1"/>
        </w:numPr>
        <w:spacing w:after="0" w:line="240" w:lineRule="auto"/>
        <w:ind w:left="1134" w:hanging="709"/>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mis on üldiselt kättesaadav või avalik;</w:t>
      </w:r>
    </w:p>
    <w:p w14:paraId="6CA23105" w14:textId="77777777" w:rsidR="002141A9" w:rsidRDefault="002141A9" w:rsidP="005F3FBA">
      <w:pPr>
        <w:numPr>
          <w:ilvl w:val="2"/>
          <w:numId w:val="1"/>
        </w:numPr>
        <w:spacing w:after="0" w:line="240" w:lineRule="auto"/>
        <w:ind w:left="1134" w:hanging="709"/>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mille avaldamiseks on Ostja kirjalik nõusolek;</w:t>
      </w:r>
    </w:p>
    <w:p w14:paraId="253F87B3" w14:textId="77777777" w:rsidR="002141A9" w:rsidRPr="00E61D20" w:rsidRDefault="002141A9" w:rsidP="005F3FBA">
      <w:pPr>
        <w:numPr>
          <w:ilvl w:val="2"/>
          <w:numId w:val="1"/>
        </w:numPr>
        <w:spacing w:after="0" w:line="240" w:lineRule="auto"/>
        <w:ind w:left="1134" w:hanging="709"/>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mille avaldamise kohustus tuleneb seadusest.</w:t>
      </w:r>
    </w:p>
    <w:p w14:paraId="1145B3AC" w14:textId="77777777" w:rsidR="002141A9" w:rsidRPr="00E61D20" w:rsidRDefault="002141A9" w:rsidP="00FB44A0">
      <w:pPr>
        <w:pStyle w:val="HD2"/>
      </w:pPr>
      <w:r w:rsidRPr="00E61D20">
        <w:t>Käesolevas punktis sätestatud õigused ja kohustused kehtivad tähtajatult pärast Lepingu lõppemist. Müüja kohustub teavitama oma töötajaid Lepingust tulenevast konfidentsiaalsuskohustusest ning tagama, et töötajad jälgivad Lepingus sätestatud nõudeid.</w:t>
      </w:r>
    </w:p>
    <w:p w14:paraId="3A0A9890" w14:textId="77777777" w:rsidR="002141A9" w:rsidRPr="00E61D20" w:rsidRDefault="002141A9" w:rsidP="00FB44A0">
      <w:pPr>
        <w:pStyle w:val="HD2"/>
      </w:pPr>
      <w:r w:rsidRPr="00E61D20">
        <w:t>Konfidentsiaalsuskohustust rikkunud Müüja on Ostja nõudmisel kohustatud hüvitama tekitatud kahju.</w:t>
      </w:r>
    </w:p>
    <w:p w14:paraId="438BA64D" w14:textId="77777777" w:rsidR="002141A9" w:rsidRPr="00E61D20" w:rsidRDefault="002141A9" w:rsidP="002141A9">
      <w:pPr>
        <w:keepNext/>
        <w:keepLines/>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Muud tingimused</w:t>
      </w:r>
      <w:bookmarkEnd w:id="10"/>
    </w:p>
    <w:p w14:paraId="2D2FF1EF" w14:textId="76EB166A" w:rsidR="00766C82" w:rsidRPr="00766C82" w:rsidRDefault="00766C82" w:rsidP="00FB44A0">
      <w:pPr>
        <w:pStyle w:val="HD2"/>
        <w:rPr>
          <w:rFonts w:eastAsiaTheme="majorEastAsia"/>
          <w:color w:val="000000" w:themeColor="text1"/>
        </w:rPr>
      </w:pPr>
      <w:r w:rsidRPr="003A3887">
        <w:t>Lepingu tingimusi võib muuta ainult Poolte kirjalikul kokkuleppel.</w:t>
      </w:r>
    </w:p>
    <w:p w14:paraId="5F77B794" w14:textId="08DD4F18" w:rsidR="002141A9" w:rsidRPr="00E61D20" w:rsidRDefault="002141A9" w:rsidP="00D758A2">
      <w:pPr>
        <w:keepNext/>
        <w:keepLines/>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Kõik Lepingust tulenevad erimeelsused püütakse lahendada läbirääkimiste teel. Juhul, kui läbirääkimised ei anna tulemusi, lahendatakse vaidlus kohtu korras </w:t>
      </w:r>
      <w:r>
        <w:rPr>
          <w:rFonts w:ascii="Times New Roman" w:eastAsia="Calibri" w:hAnsi="Times New Roman" w:cs="Times New Roman"/>
          <w:sz w:val="24"/>
          <w:szCs w:val="24"/>
          <w:lang w:bidi="en-US"/>
        </w:rPr>
        <w:t>Ostja</w:t>
      </w:r>
      <w:r w:rsidRPr="00E61D20">
        <w:rPr>
          <w:rFonts w:ascii="Times New Roman" w:eastAsia="Calibri" w:hAnsi="Times New Roman" w:cs="Times New Roman"/>
          <w:sz w:val="24"/>
          <w:szCs w:val="24"/>
          <w:lang w:bidi="en-US"/>
        </w:rPr>
        <w:t xml:space="preserve"> asukohajärgses kohtus.</w:t>
      </w:r>
    </w:p>
    <w:p w14:paraId="0ECAA048" w14:textId="77777777" w:rsidR="002141A9" w:rsidRPr="00E61D20" w:rsidRDefault="002141A9" w:rsidP="00D758A2">
      <w:pPr>
        <w:numPr>
          <w:ilvl w:val="1"/>
          <w:numId w:val="1"/>
        </w:numPr>
        <w:spacing w:before="120" w:after="0" w:line="240" w:lineRule="auto"/>
        <w:ind w:left="567"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 tühistab kõik pooltevahelised Lepingu objekti puudutavad varasemad suulised või kirjalikud kokkulepped.</w:t>
      </w:r>
    </w:p>
    <w:p w14:paraId="2AF8BE72" w14:textId="77777777" w:rsidR="005C5618" w:rsidRPr="003A3887" w:rsidRDefault="005C5618" w:rsidP="00A12B5F">
      <w:pPr>
        <w:numPr>
          <w:ilvl w:val="0"/>
          <w:numId w:val="1"/>
        </w:numPr>
        <w:spacing w:before="120" w:after="0" w:line="240" w:lineRule="auto"/>
        <w:ind w:left="357" w:hanging="357"/>
        <w:jc w:val="both"/>
        <w:outlineLvl w:val="0"/>
        <w:rPr>
          <w:rFonts w:ascii="Times New Roman" w:eastAsia="Times New Roman" w:hAnsi="Times New Roman" w:cs="Times New Roman"/>
          <w:b/>
          <w:sz w:val="24"/>
          <w:szCs w:val="24"/>
        </w:rPr>
      </w:pPr>
      <w:r w:rsidRPr="003A3887">
        <w:rPr>
          <w:rFonts w:ascii="Times New Roman" w:eastAsia="Times New Roman" w:hAnsi="Times New Roman" w:cs="Times New Roman"/>
          <w:b/>
          <w:sz w:val="24"/>
          <w:szCs w:val="24"/>
        </w:rPr>
        <w:t>Poolte andmed</w:t>
      </w:r>
    </w:p>
    <w:tbl>
      <w:tblPr>
        <w:tblW w:w="0" w:type="auto"/>
        <w:tblLayout w:type="fixed"/>
        <w:tblLook w:val="04A0" w:firstRow="1" w:lastRow="0" w:firstColumn="1" w:lastColumn="0" w:noHBand="0" w:noVBand="1"/>
      </w:tblPr>
      <w:tblGrid>
        <w:gridCol w:w="4620"/>
        <w:gridCol w:w="4620"/>
      </w:tblGrid>
      <w:tr w:rsidR="005C5618" w:rsidRPr="00EC3451" w14:paraId="73F54522" w14:textId="77777777" w:rsidTr="002B711B">
        <w:tc>
          <w:tcPr>
            <w:tcW w:w="4620" w:type="dxa"/>
            <w:hideMark/>
          </w:tcPr>
          <w:p w14:paraId="23AEF28F" w14:textId="4189B4C6" w:rsidR="005C5618" w:rsidRPr="00EC3451" w:rsidRDefault="005C5618" w:rsidP="00A12B5F">
            <w:pPr>
              <w:spacing w:after="0" w:line="240" w:lineRule="auto"/>
              <w:ind w:left="357"/>
              <w:jc w:val="both"/>
              <w:rPr>
                <w:rFonts w:ascii="Times New Roman" w:hAnsi="Times New Roman" w:cs="Times New Roman"/>
                <w:b/>
                <w:sz w:val="24"/>
                <w:szCs w:val="24"/>
              </w:rPr>
            </w:pPr>
            <w:r w:rsidRPr="00EC3451">
              <w:rPr>
                <w:rFonts w:ascii="Times New Roman" w:hAnsi="Times New Roman" w:cs="Times New Roman"/>
                <w:b/>
                <w:sz w:val="24"/>
                <w:szCs w:val="24"/>
              </w:rPr>
              <w:t>1</w:t>
            </w:r>
            <w:r w:rsidR="00EC3451" w:rsidRPr="00EC3451">
              <w:rPr>
                <w:rFonts w:ascii="Times New Roman" w:hAnsi="Times New Roman" w:cs="Times New Roman"/>
                <w:b/>
                <w:sz w:val="24"/>
                <w:szCs w:val="24"/>
              </w:rPr>
              <w:t>5</w:t>
            </w:r>
            <w:r w:rsidRPr="00EC3451">
              <w:rPr>
                <w:rFonts w:ascii="Times New Roman" w:hAnsi="Times New Roman" w:cs="Times New Roman"/>
                <w:b/>
                <w:sz w:val="24"/>
                <w:szCs w:val="24"/>
              </w:rPr>
              <w:t>.1. Ostja:</w:t>
            </w:r>
          </w:p>
          <w:p w14:paraId="099C14F2" w14:textId="369457AA" w:rsidR="005C5618" w:rsidRPr="00EC3451" w:rsidRDefault="00F40075" w:rsidP="00A12B5F">
            <w:pPr>
              <w:spacing w:after="0" w:line="240" w:lineRule="auto"/>
              <w:ind w:left="357"/>
              <w:jc w:val="both"/>
              <w:rPr>
                <w:rFonts w:ascii="Times New Roman" w:hAnsi="Times New Roman" w:cs="Times New Roman"/>
                <w:b/>
                <w:sz w:val="24"/>
                <w:szCs w:val="24"/>
              </w:rPr>
            </w:pPr>
            <w:r w:rsidRPr="00EC3451">
              <w:rPr>
                <w:rFonts w:ascii="Times New Roman" w:hAnsi="Times New Roman" w:cs="Times New Roman"/>
                <w:sz w:val="24"/>
                <w:szCs w:val="24"/>
              </w:rPr>
              <w:t>Aktsiaselts Rakvere Haigla</w:t>
            </w:r>
          </w:p>
          <w:p w14:paraId="43DC35D8" w14:textId="77777777" w:rsidR="005C5618" w:rsidRPr="00EC3451" w:rsidRDefault="005C5618" w:rsidP="00A12B5F">
            <w:pPr>
              <w:spacing w:after="0" w:line="240" w:lineRule="auto"/>
              <w:ind w:left="357"/>
              <w:jc w:val="both"/>
              <w:rPr>
                <w:rFonts w:ascii="Times New Roman" w:hAnsi="Times New Roman" w:cs="Times New Roman"/>
                <w:sz w:val="24"/>
                <w:szCs w:val="24"/>
              </w:rPr>
            </w:pPr>
            <w:r w:rsidRPr="00EC3451">
              <w:rPr>
                <w:rFonts w:ascii="Times New Roman" w:hAnsi="Times New Roman" w:cs="Times New Roman"/>
                <w:sz w:val="24"/>
                <w:szCs w:val="24"/>
              </w:rPr>
              <w:t>Registrikood 108566241</w:t>
            </w:r>
          </w:p>
          <w:p w14:paraId="720A8691" w14:textId="77777777" w:rsidR="005C5618" w:rsidRPr="00EC3451" w:rsidRDefault="005C5618" w:rsidP="00A12B5F">
            <w:pPr>
              <w:spacing w:after="0" w:line="240" w:lineRule="auto"/>
              <w:ind w:left="357"/>
              <w:jc w:val="both"/>
              <w:rPr>
                <w:rFonts w:ascii="Times New Roman" w:hAnsi="Times New Roman" w:cs="Times New Roman"/>
                <w:sz w:val="24"/>
                <w:szCs w:val="24"/>
              </w:rPr>
            </w:pPr>
            <w:r w:rsidRPr="00EC3451">
              <w:rPr>
                <w:rFonts w:ascii="Times New Roman" w:hAnsi="Times New Roman" w:cs="Times New Roman"/>
                <w:sz w:val="24"/>
                <w:szCs w:val="24"/>
              </w:rPr>
              <w:t>Lõuna põik 1, 44316, RAKVERE</w:t>
            </w:r>
          </w:p>
          <w:p w14:paraId="18D9667C" w14:textId="758477F5" w:rsidR="005C5618" w:rsidRPr="00EC3451" w:rsidRDefault="005C5618" w:rsidP="00A12B5F">
            <w:pPr>
              <w:spacing w:after="0" w:line="240" w:lineRule="auto"/>
              <w:ind w:left="357"/>
              <w:jc w:val="both"/>
              <w:rPr>
                <w:rFonts w:ascii="Times New Roman" w:hAnsi="Times New Roman" w:cs="Times New Roman"/>
                <w:sz w:val="24"/>
                <w:szCs w:val="24"/>
              </w:rPr>
            </w:pPr>
            <w:r w:rsidRPr="00EC3451">
              <w:rPr>
                <w:rFonts w:ascii="Times New Roman" w:hAnsi="Times New Roman" w:cs="Times New Roman"/>
                <w:sz w:val="24"/>
                <w:szCs w:val="24"/>
              </w:rPr>
              <w:t>Tel +</w:t>
            </w:r>
            <w:r w:rsidR="00B47847" w:rsidRPr="00EC3451">
              <w:rPr>
                <w:rFonts w:ascii="Times New Roman" w:hAnsi="Times New Roman" w:cs="Times New Roman"/>
                <w:sz w:val="24"/>
                <w:szCs w:val="24"/>
              </w:rPr>
              <w:t xml:space="preserve">372 </w:t>
            </w:r>
            <w:r w:rsidRPr="00EC3451">
              <w:rPr>
                <w:rFonts w:ascii="Times New Roman" w:hAnsi="Times New Roman" w:cs="Times New Roman"/>
                <w:sz w:val="24"/>
                <w:szCs w:val="24"/>
              </w:rPr>
              <w:t>3229010</w:t>
            </w:r>
          </w:p>
          <w:p w14:paraId="673D559F" w14:textId="77777777" w:rsidR="005C5618" w:rsidRPr="00EC3451" w:rsidRDefault="005C5618" w:rsidP="00A12B5F">
            <w:pPr>
              <w:spacing w:after="0" w:line="240" w:lineRule="auto"/>
              <w:ind w:left="357"/>
              <w:jc w:val="both"/>
              <w:rPr>
                <w:rFonts w:ascii="Times New Roman" w:eastAsia="Times New Roman" w:hAnsi="Times New Roman" w:cs="Times New Roman"/>
                <w:sz w:val="24"/>
                <w:szCs w:val="24"/>
              </w:rPr>
            </w:pPr>
            <w:r w:rsidRPr="00EC3451">
              <w:rPr>
                <w:rFonts w:ascii="Times New Roman" w:eastAsia="Times New Roman" w:hAnsi="Times New Roman" w:cs="Times New Roman"/>
                <w:sz w:val="24"/>
                <w:szCs w:val="24"/>
              </w:rPr>
              <w:t xml:space="preserve">e-post: </w:t>
            </w:r>
            <w:hyperlink r:id="rId13" w:history="1">
              <w:r w:rsidRPr="00EC3451">
                <w:rPr>
                  <w:rFonts w:ascii="Times New Roman" w:eastAsiaTheme="majorEastAsia" w:hAnsi="Times New Roman" w:cs="Times New Roman"/>
                  <w:color w:val="0000FF"/>
                  <w:sz w:val="24"/>
                  <w:szCs w:val="24"/>
                  <w:u w:val="single"/>
                </w:rPr>
                <w:t>haigla@rh.ee</w:t>
              </w:r>
            </w:hyperlink>
          </w:p>
        </w:tc>
        <w:tc>
          <w:tcPr>
            <w:tcW w:w="4620" w:type="dxa"/>
            <w:hideMark/>
          </w:tcPr>
          <w:p w14:paraId="370AA5E8" w14:textId="3243746C" w:rsidR="005C5618" w:rsidRPr="00EC3451" w:rsidRDefault="005C5618" w:rsidP="00A12B5F">
            <w:pPr>
              <w:spacing w:after="0" w:line="240" w:lineRule="auto"/>
              <w:ind w:left="357"/>
              <w:jc w:val="both"/>
              <w:outlineLvl w:val="0"/>
              <w:rPr>
                <w:rFonts w:ascii="Times New Roman" w:hAnsi="Times New Roman" w:cs="Times New Roman"/>
                <w:b/>
                <w:sz w:val="24"/>
                <w:szCs w:val="24"/>
              </w:rPr>
            </w:pPr>
            <w:r w:rsidRPr="00EC3451">
              <w:rPr>
                <w:rFonts w:ascii="Times New Roman" w:hAnsi="Times New Roman" w:cs="Times New Roman"/>
                <w:b/>
                <w:sz w:val="24"/>
                <w:szCs w:val="24"/>
              </w:rPr>
              <w:t>1</w:t>
            </w:r>
            <w:r w:rsidR="00EC3451" w:rsidRPr="00EC3451">
              <w:rPr>
                <w:rFonts w:ascii="Times New Roman" w:hAnsi="Times New Roman" w:cs="Times New Roman"/>
                <w:b/>
                <w:sz w:val="24"/>
                <w:szCs w:val="24"/>
              </w:rPr>
              <w:t>5</w:t>
            </w:r>
            <w:r w:rsidRPr="00EC3451">
              <w:rPr>
                <w:rFonts w:ascii="Times New Roman" w:hAnsi="Times New Roman" w:cs="Times New Roman"/>
                <w:b/>
                <w:sz w:val="24"/>
                <w:szCs w:val="24"/>
              </w:rPr>
              <w:t>.2. Müüja:</w:t>
            </w:r>
          </w:p>
          <w:p w14:paraId="2E8B7366" w14:textId="64BFCD93" w:rsidR="005C5618" w:rsidRPr="00EC3451" w:rsidRDefault="00094487" w:rsidP="00A12B5F">
            <w:pPr>
              <w:spacing w:after="0" w:line="240" w:lineRule="auto"/>
              <w:ind w:left="357"/>
              <w:jc w:val="both"/>
              <w:outlineLvl w:val="0"/>
              <w:rPr>
                <w:rFonts w:ascii="Times New Roman" w:hAnsi="Times New Roman" w:cs="Times New Roman"/>
                <w:sz w:val="24"/>
                <w:szCs w:val="24"/>
              </w:rPr>
            </w:pPr>
            <w:r w:rsidRPr="00EC3451">
              <w:rPr>
                <w:rFonts w:ascii="Times New Roman" w:hAnsi="Times New Roman" w:cs="Times New Roman"/>
                <w:sz w:val="24"/>
                <w:szCs w:val="24"/>
              </w:rPr>
              <w:t>...................................</w:t>
            </w:r>
          </w:p>
          <w:p w14:paraId="36D6D9C9" w14:textId="4E5A9433" w:rsidR="005C5618" w:rsidRPr="00EC3451" w:rsidRDefault="005C5618" w:rsidP="00A12B5F">
            <w:pPr>
              <w:keepNext/>
              <w:keepLines/>
              <w:spacing w:after="0" w:line="240" w:lineRule="auto"/>
              <w:ind w:left="357"/>
              <w:jc w:val="both"/>
              <w:outlineLvl w:val="1"/>
              <w:rPr>
                <w:rFonts w:ascii="Times New Roman" w:eastAsiaTheme="majorEastAsia" w:hAnsi="Times New Roman" w:cs="Times New Roman"/>
                <w:sz w:val="24"/>
                <w:szCs w:val="24"/>
              </w:rPr>
            </w:pPr>
            <w:r w:rsidRPr="00EC3451">
              <w:rPr>
                <w:rFonts w:ascii="Times New Roman" w:eastAsiaTheme="majorEastAsia" w:hAnsi="Times New Roman" w:cs="Times New Roman"/>
                <w:sz w:val="24"/>
                <w:szCs w:val="24"/>
              </w:rPr>
              <w:t>Registrikood</w:t>
            </w:r>
            <w:r w:rsidR="00094487" w:rsidRPr="00EC3451">
              <w:rPr>
                <w:rFonts w:ascii="Times New Roman" w:eastAsiaTheme="majorEastAsia" w:hAnsi="Times New Roman" w:cs="Times New Roman"/>
                <w:sz w:val="24"/>
                <w:szCs w:val="24"/>
              </w:rPr>
              <w:t xml:space="preserve"> .............</w:t>
            </w:r>
          </w:p>
          <w:p w14:paraId="6B6DC3AA" w14:textId="216096A8" w:rsidR="005C5618" w:rsidRPr="00EC3451" w:rsidRDefault="00094487" w:rsidP="00A12B5F">
            <w:pPr>
              <w:spacing w:after="0" w:line="240" w:lineRule="auto"/>
              <w:ind w:left="357"/>
              <w:jc w:val="both"/>
              <w:outlineLvl w:val="0"/>
              <w:rPr>
                <w:rFonts w:ascii="Times New Roman" w:hAnsi="Times New Roman" w:cs="Times New Roman"/>
                <w:sz w:val="24"/>
                <w:szCs w:val="24"/>
              </w:rPr>
            </w:pPr>
            <w:r w:rsidRPr="00EC3451">
              <w:rPr>
                <w:rFonts w:ascii="Times New Roman" w:hAnsi="Times New Roman" w:cs="Times New Roman"/>
                <w:bCs/>
                <w:sz w:val="24"/>
                <w:szCs w:val="24"/>
              </w:rPr>
              <w:t>...................................</w:t>
            </w:r>
          </w:p>
          <w:p w14:paraId="6CF8542E" w14:textId="4EEA6791" w:rsidR="005C5618" w:rsidRPr="00EC3451" w:rsidRDefault="005C5618" w:rsidP="00A12B5F">
            <w:pPr>
              <w:spacing w:after="0" w:line="240" w:lineRule="auto"/>
              <w:ind w:left="357"/>
              <w:jc w:val="both"/>
              <w:outlineLvl w:val="0"/>
              <w:rPr>
                <w:rFonts w:ascii="Times New Roman" w:hAnsi="Times New Roman" w:cs="Times New Roman"/>
                <w:sz w:val="24"/>
                <w:szCs w:val="24"/>
              </w:rPr>
            </w:pPr>
            <w:r w:rsidRPr="00EC3451">
              <w:rPr>
                <w:rFonts w:ascii="Times New Roman" w:hAnsi="Times New Roman" w:cs="Times New Roman"/>
                <w:sz w:val="24"/>
                <w:szCs w:val="24"/>
              </w:rPr>
              <w:t xml:space="preserve">Tel </w:t>
            </w:r>
            <w:r w:rsidR="00094487" w:rsidRPr="00EC3451">
              <w:rPr>
                <w:rFonts w:ascii="Times New Roman" w:hAnsi="Times New Roman" w:cs="Times New Roman"/>
                <w:sz w:val="24"/>
                <w:szCs w:val="24"/>
              </w:rPr>
              <w:t>.............................</w:t>
            </w:r>
          </w:p>
          <w:p w14:paraId="0DC259A2" w14:textId="1194067C" w:rsidR="005C5618" w:rsidRPr="00EC3451" w:rsidRDefault="005C5618" w:rsidP="00A12B5F">
            <w:pPr>
              <w:spacing w:after="0" w:line="240" w:lineRule="auto"/>
              <w:ind w:left="357"/>
              <w:jc w:val="both"/>
              <w:rPr>
                <w:rFonts w:ascii="Times New Roman" w:eastAsia="Times New Roman" w:hAnsi="Times New Roman" w:cs="Times New Roman"/>
                <w:sz w:val="24"/>
                <w:szCs w:val="24"/>
              </w:rPr>
            </w:pPr>
            <w:r w:rsidRPr="00EC3451">
              <w:rPr>
                <w:rFonts w:ascii="Times New Roman" w:eastAsia="Times New Roman" w:hAnsi="Times New Roman" w:cs="Times New Roman"/>
                <w:sz w:val="24"/>
                <w:szCs w:val="24"/>
              </w:rPr>
              <w:t xml:space="preserve">e-post: </w:t>
            </w:r>
            <w:r w:rsidR="00094487" w:rsidRPr="00EC3451">
              <w:rPr>
                <w:rFonts w:ascii="Times New Roman" w:eastAsia="Times New Roman" w:hAnsi="Times New Roman" w:cs="Times New Roman"/>
                <w:sz w:val="24"/>
                <w:szCs w:val="24"/>
              </w:rPr>
              <w:t>.......................</w:t>
            </w:r>
          </w:p>
        </w:tc>
      </w:tr>
    </w:tbl>
    <w:p w14:paraId="189CADE3" w14:textId="77777777" w:rsidR="005F3FBA" w:rsidRDefault="005C5618" w:rsidP="00A12B5F">
      <w:pPr>
        <w:tabs>
          <w:tab w:val="left" w:pos="3680"/>
        </w:tabs>
        <w:autoSpaceDE w:val="0"/>
        <w:autoSpaceDN w:val="0"/>
        <w:adjustRightInd w:val="0"/>
        <w:spacing w:after="0" w:line="240" w:lineRule="auto"/>
        <w:ind w:left="357"/>
        <w:jc w:val="both"/>
        <w:rPr>
          <w:rFonts w:ascii="Times New Roman" w:eastAsia="Times New Roman" w:hAnsi="Times New Roman" w:cs="Times New Roman"/>
          <w:b/>
          <w:color w:val="000000"/>
          <w:sz w:val="24"/>
          <w:szCs w:val="24"/>
          <w:lang w:eastAsia="et-EE"/>
        </w:rPr>
      </w:pPr>
      <w:r w:rsidRPr="00EC3451">
        <w:rPr>
          <w:rFonts w:ascii="Times New Roman" w:eastAsia="Times New Roman" w:hAnsi="Times New Roman" w:cs="Times New Roman"/>
          <w:b/>
          <w:color w:val="000000"/>
          <w:sz w:val="24"/>
          <w:szCs w:val="24"/>
          <w:lang w:eastAsia="et-EE"/>
        </w:rPr>
        <w:lastRenderedPageBreak/>
        <w:t>________________________</w:t>
      </w:r>
      <w:r w:rsidRPr="00EC3451">
        <w:rPr>
          <w:rFonts w:ascii="Times New Roman" w:eastAsia="Times New Roman" w:hAnsi="Times New Roman" w:cs="Times New Roman"/>
          <w:b/>
          <w:color w:val="000000"/>
          <w:sz w:val="24"/>
          <w:szCs w:val="24"/>
          <w:lang w:eastAsia="et-EE"/>
        </w:rPr>
        <w:tab/>
      </w:r>
      <w:r w:rsidRPr="00EC3451">
        <w:rPr>
          <w:rFonts w:ascii="Times New Roman" w:eastAsia="Times New Roman" w:hAnsi="Times New Roman" w:cs="Times New Roman"/>
          <w:b/>
          <w:color w:val="000000"/>
          <w:sz w:val="24"/>
          <w:szCs w:val="24"/>
          <w:lang w:eastAsia="et-EE"/>
        </w:rPr>
        <w:tab/>
      </w:r>
      <w:r w:rsidRPr="00EC3451">
        <w:rPr>
          <w:rFonts w:ascii="Times New Roman" w:eastAsia="Times New Roman" w:hAnsi="Times New Roman" w:cs="Times New Roman"/>
          <w:b/>
          <w:color w:val="000000"/>
          <w:sz w:val="24"/>
          <w:szCs w:val="24"/>
          <w:lang w:eastAsia="et-EE"/>
        </w:rPr>
        <w:tab/>
        <w:t>_____________________</w:t>
      </w:r>
    </w:p>
    <w:p w14:paraId="3891E717" w14:textId="113EC387" w:rsidR="005F3FBA" w:rsidRPr="003A3887" w:rsidRDefault="005C5618" w:rsidP="00A12B5F">
      <w:pPr>
        <w:tabs>
          <w:tab w:val="left" w:pos="3680"/>
        </w:tabs>
        <w:autoSpaceDE w:val="0"/>
        <w:autoSpaceDN w:val="0"/>
        <w:adjustRightInd w:val="0"/>
        <w:spacing w:after="0" w:line="240" w:lineRule="auto"/>
        <w:ind w:left="357"/>
        <w:jc w:val="both"/>
        <w:rPr>
          <w:rFonts w:ascii="Times New Roman" w:eastAsia="Times New Roman" w:hAnsi="Times New Roman" w:cs="Times New Roman"/>
          <w:sz w:val="24"/>
          <w:szCs w:val="24"/>
          <w:lang w:eastAsia="ar-SA"/>
        </w:rPr>
      </w:pPr>
      <w:r w:rsidRPr="003A3887">
        <w:rPr>
          <w:rFonts w:ascii="Times New Roman" w:eastAsia="Times New Roman" w:hAnsi="Times New Roman" w:cs="Times New Roman"/>
          <w:i/>
          <w:color w:val="000000"/>
          <w:sz w:val="24"/>
          <w:szCs w:val="24"/>
          <w:lang w:eastAsia="et-EE"/>
        </w:rPr>
        <w:t>/Allkirjastatud digitaalselt/</w:t>
      </w:r>
      <w:r w:rsidRPr="003A3887">
        <w:rPr>
          <w:rFonts w:ascii="Times New Roman" w:eastAsia="Times New Roman" w:hAnsi="Times New Roman" w:cs="Times New Roman"/>
          <w:i/>
          <w:color w:val="000000"/>
          <w:sz w:val="24"/>
          <w:szCs w:val="24"/>
          <w:lang w:eastAsia="et-EE"/>
        </w:rPr>
        <w:tab/>
      </w:r>
      <w:r w:rsidRPr="003A3887">
        <w:rPr>
          <w:rFonts w:ascii="Times New Roman" w:eastAsia="Times New Roman" w:hAnsi="Times New Roman" w:cs="Times New Roman"/>
          <w:i/>
          <w:color w:val="000000"/>
          <w:sz w:val="24"/>
          <w:szCs w:val="24"/>
          <w:lang w:eastAsia="et-EE"/>
        </w:rPr>
        <w:tab/>
      </w:r>
      <w:r w:rsidRPr="003A3887">
        <w:rPr>
          <w:rFonts w:ascii="Times New Roman" w:eastAsia="Times New Roman" w:hAnsi="Times New Roman" w:cs="Times New Roman"/>
          <w:i/>
          <w:color w:val="000000"/>
          <w:sz w:val="24"/>
          <w:szCs w:val="24"/>
          <w:lang w:eastAsia="et-EE"/>
        </w:rPr>
        <w:tab/>
      </w:r>
      <w:bookmarkStart w:id="11" w:name="_Hlk19870840"/>
      <w:r w:rsidRPr="003A3887">
        <w:rPr>
          <w:rFonts w:ascii="Times New Roman" w:eastAsia="Times New Roman" w:hAnsi="Times New Roman" w:cs="Times New Roman"/>
          <w:i/>
          <w:color w:val="000000"/>
          <w:sz w:val="24"/>
          <w:szCs w:val="24"/>
          <w:lang w:eastAsia="et-EE"/>
        </w:rPr>
        <w:t>/Allkirjastatud digitaalselt/</w:t>
      </w:r>
      <w:bookmarkEnd w:id="11"/>
    </w:p>
    <w:sectPr w:rsidR="005F3FBA" w:rsidRPr="003A3887" w:rsidSect="003F3B14">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F229B" w14:textId="77777777" w:rsidR="00DB3AB3" w:rsidRDefault="00DB3AB3" w:rsidP="00391D5E">
      <w:pPr>
        <w:spacing w:after="0" w:line="240" w:lineRule="auto"/>
      </w:pPr>
      <w:r>
        <w:separator/>
      </w:r>
    </w:p>
  </w:endnote>
  <w:endnote w:type="continuationSeparator" w:id="0">
    <w:p w14:paraId="3BE2BEDA" w14:textId="77777777" w:rsidR="00DB3AB3" w:rsidRDefault="00DB3AB3" w:rsidP="0039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463820"/>
      <w:docPartObj>
        <w:docPartGallery w:val="Page Numbers (Bottom of Page)"/>
        <w:docPartUnique/>
      </w:docPartObj>
    </w:sdtPr>
    <w:sdtContent>
      <w:sdt>
        <w:sdtPr>
          <w:id w:val="-1769616900"/>
          <w:docPartObj>
            <w:docPartGallery w:val="Page Numbers (Top of Page)"/>
            <w:docPartUnique/>
          </w:docPartObj>
        </w:sdtPr>
        <w:sdtContent>
          <w:p w14:paraId="00CA1415" w14:textId="101DE14F" w:rsidR="00391D5E" w:rsidRDefault="00391D5E">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EC1138" w14:textId="77777777" w:rsidR="00391D5E" w:rsidRDefault="00391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24AEA" w14:textId="77777777" w:rsidR="00DB3AB3" w:rsidRDefault="00DB3AB3" w:rsidP="00391D5E">
      <w:pPr>
        <w:spacing w:after="0" w:line="240" w:lineRule="auto"/>
      </w:pPr>
      <w:r>
        <w:separator/>
      </w:r>
    </w:p>
  </w:footnote>
  <w:footnote w:type="continuationSeparator" w:id="0">
    <w:p w14:paraId="6C9B1D7F" w14:textId="77777777" w:rsidR="00DB3AB3" w:rsidRDefault="00DB3AB3" w:rsidP="00391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6435C"/>
    <w:multiLevelType w:val="multilevel"/>
    <w:tmpl w:val="AEDA6352"/>
    <w:lvl w:ilvl="0">
      <w:start w:val="1"/>
      <w:numFmt w:val="decimal"/>
      <w:lvlText w:val="%1."/>
      <w:lvlJc w:val="left"/>
      <w:pPr>
        <w:ind w:left="525" w:hanging="525"/>
      </w:pPr>
      <w:rPr>
        <w:b/>
        <w:bCs/>
      </w:rPr>
    </w:lvl>
    <w:lvl w:ilvl="1">
      <w:start w:val="1"/>
      <w:numFmt w:val="decimal"/>
      <w:lvlText w:val="%1.%2."/>
      <w:lvlJc w:val="left"/>
      <w:pPr>
        <w:ind w:left="525" w:hanging="525"/>
      </w:pPr>
      <w:rPr>
        <w:b w:val="0"/>
        <w:bCs/>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D88557D"/>
    <w:multiLevelType w:val="multilevel"/>
    <w:tmpl w:val="4B94C878"/>
    <w:lvl w:ilvl="0">
      <w:start w:val="1"/>
      <w:numFmt w:val="decimal"/>
      <w:lvlText w:val="%1."/>
      <w:lvlJc w:val="left"/>
      <w:pPr>
        <w:ind w:left="360" w:hanging="360"/>
      </w:pPr>
      <w:rPr>
        <w:rFonts w:cs="Times New Roman"/>
        <w:b/>
      </w:rPr>
    </w:lvl>
    <w:lvl w:ilvl="1">
      <w:start w:val="1"/>
      <w:numFmt w:val="decimal"/>
      <w:pStyle w:val="HD2"/>
      <w:lvlText w:val="%1.%2."/>
      <w:lvlJc w:val="left"/>
      <w:pPr>
        <w:ind w:left="716" w:hanging="432"/>
      </w:pPr>
      <w:rPr>
        <w:rFonts w:cs="Times New Roman"/>
        <w:b w:val="0"/>
        <w:bCs/>
        <w:strike w:val="0"/>
        <w:lang w:val="et-EE"/>
      </w:rPr>
    </w:lvl>
    <w:lvl w:ilvl="2">
      <w:start w:val="1"/>
      <w:numFmt w:val="decimal"/>
      <w:lvlText w:val="%1.%2.%3."/>
      <w:lvlJc w:val="left"/>
      <w:pPr>
        <w:ind w:left="1922"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6022101">
    <w:abstractNumId w:val="1"/>
  </w:num>
  <w:num w:numId="2" w16cid:durableId="166416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A9"/>
    <w:rsid w:val="00045499"/>
    <w:rsid w:val="00071CA4"/>
    <w:rsid w:val="00072B1F"/>
    <w:rsid w:val="00082C11"/>
    <w:rsid w:val="00086AD7"/>
    <w:rsid w:val="000873FA"/>
    <w:rsid w:val="00090564"/>
    <w:rsid w:val="000941C7"/>
    <w:rsid w:val="00094487"/>
    <w:rsid w:val="000B42AC"/>
    <w:rsid w:val="001A7C2D"/>
    <w:rsid w:val="001B6737"/>
    <w:rsid w:val="001F7B77"/>
    <w:rsid w:val="002068F0"/>
    <w:rsid w:val="002141A9"/>
    <w:rsid w:val="002974BD"/>
    <w:rsid w:val="002A5B05"/>
    <w:rsid w:val="002B15CC"/>
    <w:rsid w:val="002D799F"/>
    <w:rsid w:val="003216A0"/>
    <w:rsid w:val="00345D41"/>
    <w:rsid w:val="00391D5E"/>
    <w:rsid w:val="003B5345"/>
    <w:rsid w:val="003C655B"/>
    <w:rsid w:val="003F3B14"/>
    <w:rsid w:val="004407D7"/>
    <w:rsid w:val="00445372"/>
    <w:rsid w:val="004C1950"/>
    <w:rsid w:val="00517E96"/>
    <w:rsid w:val="005478B0"/>
    <w:rsid w:val="00576741"/>
    <w:rsid w:val="00580730"/>
    <w:rsid w:val="005A47BE"/>
    <w:rsid w:val="005B31DD"/>
    <w:rsid w:val="005B45FC"/>
    <w:rsid w:val="005C5618"/>
    <w:rsid w:val="005E3D7F"/>
    <w:rsid w:val="005E710C"/>
    <w:rsid w:val="005F3FBA"/>
    <w:rsid w:val="00606A08"/>
    <w:rsid w:val="00612AF3"/>
    <w:rsid w:val="00620FED"/>
    <w:rsid w:val="00652074"/>
    <w:rsid w:val="006977C3"/>
    <w:rsid w:val="006C720B"/>
    <w:rsid w:val="006F2087"/>
    <w:rsid w:val="006F31F9"/>
    <w:rsid w:val="00707965"/>
    <w:rsid w:val="00711BA0"/>
    <w:rsid w:val="0072184F"/>
    <w:rsid w:val="00766C82"/>
    <w:rsid w:val="007B5F31"/>
    <w:rsid w:val="00800DB2"/>
    <w:rsid w:val="00862231"/>
    <w:rsid w:val="008B0358"/>
    <w:rsid w:val="008D3FC1"/>
    <w:rsid w:val="008D4980"/>
    <w:rsid w:val="008D7119"/>
    <w:rsid w:val="008E2D79"/>
    <w:rsid w:val="008F2F9E"/>
    <w:rsid w:val="009138E2"/>
    <w:rsid w:val="00946BE5"/>
    <w:rsid w:val="00A12B5F"/>
    <w:rsid w:val="00A33A1A"/>
    <w:rsid w:val="00A71D48"/>
    <w:rsid w:val="00A803B1"/>
    <w:rsid w:val="00AF7FF5"/>
    <w:rsid w:val="00B35CFE"/>
    <w:rsid w:val="00B41C02"/>
    <w:rsid w:val="00B47847"/>
    <w:rsid w:val="00B567D0"/>
    <w:rsid w:val="00B77973"/>
    <w:rsid w:val="00B82878"/>
    <w:rsid w:val="00B97BB4"/>
    <w:rsid w:val="00BB003F"/>
    <w:rsid w:val="00BC1428"/>
    <w:rsid w:val="00C5423F"/>
    <w:rsid w:val="00CA6A5A"/>
    <w:rsid w:val="00CD533E"/>
    <w:rsid w:val="00D758A2"/>
    <w:rsid w:val="00DA75EC"/>
    <w:rsid w:val="00DB3AB3"/>
    <w:rsid w:val="00DB6DC1"/>
    <w:rsid w:val="00DD317E"/>
    <w:rsid w:val="00E75D23"/>
    <w:rsid w:val="00E83832"/>
    <w:rsid w:val="00EC3451"/>
    <w:rsid w:val="00EF3154"/>
    <w:rsid w:val="00EF6690"/>
    <w:rsid w:val="00F40075"/>
    <w:rsid w:val="00F4566D"/>
    <w:rsid w:val="00F53D87"/>
    <w:rsid w:val="00FB42AE"/>
    <w:rsid w:val="00FB44A0"/>
    <w:rsid w:val="00FD004F"/>
    <w:rsid w:val="00FD27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46CA"/>
  <w15:chartTrackingRefBased/>
  <w15:docId w15:val="{165BB44F-45C5-46B2-8588-9AA39867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1A9"/>
    <w:rPr>
      <w:kern w:val="0"/>
      <w14:ligatures w14:val="none"/>
    </w:rPr>
  </w:style>
  <w:style w:type="paragraph" w:styleId="Heading1">
    <w:name w:val="heading 1"/>
    <w:basedOn w:val="Normal"/>
    <w:next w:val="Normal"/>
    <w:link w:val="Heading1Char"/>
    <w:uiPriority w:val="9"/>
    <w:qFormat/>
    <w:rsid w:val="00214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4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14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14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14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1A9"/>
    <w:rPr>
      <w:rFonts w:eastAsiaTheme="majorEastAsia" w:cstheme="majorBidi"/>
      <w:color w:val="272727" w:themeColor="text1" w:themeTint="D8"/>
    </w:rPr>
  </w:style>
  <w:style w:type="paragraph" w:styleId="Title">
    <w:name w:val="Title"/>
    <w:basedOn w:val="Normal"/>
    <w:next w:val="Normal"/>
    <w:link w:val="TitleChar"/>
    <w:uiPriority w:val="10"/>
    <w:qFormat/>
    <w:rsid w:val="00214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1A9"/>
    <w:pPr>
      <w:spacing w:before="160"/>
      <w:jc w:val="center"/>
    </w:pPr>
    <w:rPr>
      <w:i/>
      <w:iCs/>
      <w:color w:val="404040" w:themeColor="text1" w:themeTint="BF"/>
    </w:rPr>
  </w:style>
  <w:style w:type="character" w:customStyle="1" w:styleId="QuoteChar">
    <w:name w:val="Quote Char"/>
    <w:basedOn w:val="DefaultParagraphFont"/>
    <w:link w:val="Quote"/>
    <w:uiPriority w:val="29"/>
    <w:rsid w:val="002141A9"/>
    <w:rPr>
      <w:i/>
      <w:iCs/>
      <w:color w:val="404040" w:themeColor="text1" w:themeTint="BF"/>
    </w:rPr>
  </w:style>
  <w:style w:type="paragraph" w:styleId="ListParagraph">
    <w:name w:val="List Paragraph"/>
    <w:basedOn w:val="Normal"/>
    <w:uiPriority w:val="34"/>
    <w:qFormat/>
    <w:rsid w:val="002141A9"/>
    <w:pPr>
      <w:ind w:left="720"/>
      <w:contextualSpacing/>
    </w:pPr>
  </w:style>
  <w:style w:type="character" w:styleId="IntenseEmphasis">
    <w:name w:val="Intense Emphasis"/>
    <w:basedOn w:val="DefaultParagraphFont"/>
    <w:uiPriority w:val="21"/>
    <w:qFormat/>
    <w:rsid w:val="002141A9"/>
    <w:rPr>
      <w:i/>
      <w:iCs/>
      <w:color w:val="0F4761" w:themeColor="accent1" w:themeShade="BF"/>
    </w:rPr>
  </w:style>
  <w:style w:type="paragraph" w:styleId="IntenseQuote">
    <w:name w:val="Intense Quote"/>
    <w:basedOn w:val="Normal"/>
    <w:next w:val="Normal"/>
    <w:link w:val="IntenseQuoteChar"/>
    <w:uiPriority w:val="30"/>
    <w:qFormat/>
    <w:rsid w:val="00214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1A9"/>
    <w:rPr>
      <w:i/>
      <w:iCs/>
      <w:color w:val="0F4761" w:themeColor="accent1" w:themeShade="BF"/>
    </w:rPr>
  </w:style>
  <w:style w:type="character" w:styleId="IntenseReference">
    <w:name w:val="Intense Reference"/>
    <w:basedOn w:val="DefaultParagraphFont"/>
    <w:uiPriority w:val="32"/>
    <w:qFormat/>
    <w:rsid w:val="002141A9"/>
    <w:rPr>
      <w:b/>
      <w:bCs/>
      <w:smallCaps/>
      <w:color w:val="0F4761" w:themeColor="accent1" w:themeShade="BF"/>
      <w:spacing w:val="5"/>
    </w:rPr>
  </w:style>
  <w:style w:type="paragraph" w:customStyle="1" w:styleId="HD2">
    <w:name w:val="HD2"/>
    <w:basedOn w:val="Normal"/>
    <w:autoRedefine/>
    <w:rsid w:val="00FB44A0"/>
    <w:pPr>
      <w:numPr>
        <w:ilvl w:val="1"/>
        <w:numId w:val="1"/>
      </w:numPr>
      <w:spacing w:before="120" w:after="0" w:line="240" w:lineRule="auto"/>
      <w:ind w:left="567" w:hanging="567"/>
      <w:jc w:val="both"/>
      <w:outlineLvl w:val="1"/>
    </w:pPr>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2141A9"/>
    <w:rPr>
      <w:color w:val="467886" w:themeColor="hyperlink"/>
      <w:u w:val="single"/>
    </w:rPr>
  </w:style>
  <w:style w:type="character" w:styleId="UnresolvedMention">
    <w:name w:val="Unresolved Mention"/>
    <w:basedOn w:val="DefaultParagraphFont"/>
    <w:uiPriority w:val="99"/>
    <w:semiHidden/>
    <w:unhideWhenUsed/>
    <w:rsid w:val="00072B1F"/>
    <w:rPr>
      <w:color w:val="605E5C"/>
      <w:shd w:val="clear" w:color="auto" w:fill="E1DFDD"/>
    </w:rPr>
  </w:style>
  <w:style w:type="character" w:styleId="PlaceholderText">
    <w:name w:val="Placeholder Text"/>
    <w:basedOn w:val="DefaultParagraphFont"/>
    <w:uiPriority w:val="99"/>
    <w:semiHidden/>
    <w:rsid w:val="00F40075"/>
  </w:style>
  <w:style w:type="paragraph" w:styleId="Header">
    <w:name w:val="header"/>
    <w:basedOn w:val="Normal"/>
    <w:link w:val="HeaderChar"/>
    <w:uiPriority w:val="99"/>
    <w:unhideWhenUsed/>
    <w:rsid w:val="00391D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1D5E"/>
    <w:rPr>
      <w:kern w:val="0"/>
      <w14:ligatures w14:val="none"/>
    </w:rPr>
  </w:style>
  <w:style w:type="paragraph" w:styleId="Footer">
    <w:name w:val="footer"/>
    <w:basedOn w:val="Normal"/>
    <w:link w:val="FooterChar"/>
    <w:uiPriority w:val="99"/>
    <w:unhideWhenUsed/>
    <w:rsid w:val="00391D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1D5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igla@rh.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h.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4b426bb4fd12e1ff32cdd0a5b8878657">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8b4e9fbcb5360b95eefd4dd374b443af"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8FB4CE-A807-46B7-BEFA-0526B7F14610}">
  <ds:schemaRefs>
    <ds:schemaRef ds:uri="http://schemas.microsoft.com/sharepoint/v3/contenttype/forms"/>
  </ds:schemaRefs>
</ds:datastoreItem>
</file>

<file path=customXml/itemProps2.xml><?xml version="1.0" encoding="utf-8"?>
<ds:datastoreItem xmlns:ds="http://schemas.openxmlformats.org/officeDocument/2006/customXml" ds:itemID="{128CE321-CB88-4E57-A1EF-6F4165877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A542D-ED44-48E0-A77E-A4C98B420369}">
  <ds:schemaRefs>
    <ds:schemaRef ds:uri="http://schemas.microsoft.com/office/2006/metadata/properties"/>
    <ds:schemaRef ds:uri="http://schemas.microsoft.com/office/infopath/2007/PartnerControls"/>
    <ds:schemaRef ds:uri="0fea5dcb-5eb2-476a-a1d5-b7e791d65291"/>
    <ds:schemaRef ds:uri="4e6a8a1c-091c-46ae-a8ec-0f9af33d660f"/>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3572</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Kätlin Sikk</cp:lastModifiedBy>
  <cp:revision>83</cp:revision>
  <dcterms:created xsi:type="dcterms:W3CDTF">2024-05-06T11:37:00Z</dcterms:created>
  <dcterms:modified xsi:type="dcterms:W3CDTF">2024-05-21T07:50:00Z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y fmtid="{D5CDD505-2E9C-101B-9397-08002B2CF9AE}" pid="3" name="MediaServiceImageTags">
    <vt:lpwstr/>
  </property>
</Properties>
</file>